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0E2" w:rsidRPr="00F14F17" w:rsidRDefault="00DE30E2" w:rsidP="00DE30E2">
      <w:pPr>
        <w:pStyle w:val="a3"/>
        <w:rPr>
          <w:rFonts w:hAnsi="Arial"/>
        </w:rPr>
      </w:pPr>
      <w:bookmarkStart w:id="0" w:name="_Toc332710609"/>
      <w:bookmarkStart w:id="1" w:name="_Toc338532859"/>
      <w:bookmarkStart w:id="2" w:name="_Toc372220613"/>
      <w:r w:rsidRPr="009A7087">
        <w:rPr>
          <w:rFonts w:hAnsi="Arial" w:hint="eastAsia"/>
          <w:color w:val="FFFFFF"/>
          <w:sz w:val="2"/>
          <w:szCs w:val="2"/>
        </w:rPr>
        <w:t>三</w:t>
      </w:r>
      <w:r w:rsidRPr="009A7087">
        <w:rPr>
          <w:rFonts w:ascii="標楷體" w:hAnsi="標楷體" w:hint="eastAsia"/>
          <w:color w:val="FFFFFF"/>
          <w:sz w:val="2"/>
          <w:szCs w:val="2"/>
        </w:rPr>
        <w:t>、</w:t>
      </w:r>
      <w:bookmarkStart w:id="3" w:name="_GoBack"/>
      <w:r w:rsidRPr="00863979">
        <w:rPr>
          <w:rFonts w:hint="eastAsia"/>
        </w:rPr>
        <w:t>職業學校學生成績考查辦法</w:t>
      </w:r>
      <w:bookmarkEnd w:id="0"/>
      <w:bookmarkEnd w:id="1"/>
      <w:bookmarkEnd w:id="2"/>
      <w:bookmarkEnd w:id="3"/>
    </w:p>
    <w:p w:rsidR="00DE30E2" w:rsidRPr="00FC3D60" w:rsidRDefault="00DE30E2" w:rsidP="00DE30E2">
      <w:pPr>
        <w:spacing w:line="240" w:lineRule="exact"/>
        <w:jc w:val="right"/>
        <w:rPr>
          <w:sz w:val="20"/>
          <w:szCs w:val="20"/>
        </w:rPr>
      </w:pPr>
      <w:r w:rsidRPr="00FC3D60">
        <w:rPr>
          <w:rFonts w:hint="eastAsia"/>
          <w:sz w:val="20"/>
          <w:szCs w:val="20"/>
        </w:rPr>
        <w:t>【法規沿革】</w:t>
      </w:r>
    </w:p>
    <w:p w:rsidR="00DE30E2" w:rsidRPr="00FC3D60" w:rsidRDefault="00DE30E2" w:rsidP="00DE30E2">
      <w:pPr>
        <w:spacing w:line="240" w:lineRule="exact"/>
        <w:jc w:val="right"/>
        <w:rPr>
          <w:sz w:val="20"/>
          <w:szCs w:val="20"/>
        </w:rPr>
      </w:pPr>
      <w:r w:rsidRPr="00FC3D60">
        <w:rPr>
          <w:rFonts w:hint="eastAsia"/>
          <w:sz w:val="20"/>
          <w:szCs w:val="20"/>
        </w:rPr>
        <w:t>1.中華民國七十六年七月二十二日教育部（76）</w:t>
      </w:r>
      <w:proofErr w:type="gramStart"/>
      <w:r w:rsidRPr="00FC3D60">
        <w:rPr>
          <w:rFonts w:hint="eastAsia"/>
          <w:sz w:val="20"/>
          <w:szCs w:val="20"/>
        </w:rPr>
        <w:t>台參字第33199</w:t>
      </w:r>
      <w:proofErr w:type="gramEnd"/>
      <w:r w:rsidRPr="00FC3D60">
        <w:rPr>
          <w:rFonts w:hint="eastAsia"/>
          <w:sz w:val="20"/>
          <w:szCs w:val="20"/>
        </w:rPr>
        <w:t>號令訂定發布全文70條</w:t>
      </w:r>
    </w:p>
    <w:p w:rsidR="00DE30E2" w:rsidRPr="00FC3D60" w:rsidRDefault="00DE30E2" w:rsidP="00DE30E2">
      <w:pPr>
        <w:spacing w:line="240" w:lineRule="exact"/>
        <w:jc w:val="right"/>
        <w:rPr>
          <w:sz w:val="20"/>
          <w:szCs w:val="20"/>
        </w:rPr>
      </w:pPr>
      <w:r w:rsidRPr="00FC3D60">
        <w:rPr>
          <w:rFonts w:hint="eastAsia"/>
          <w:sz w:val="20"/>
          <w:szCs w:val="20"/>
        </w:rPr>
        <w:t>2.中華民國七十七年四月八日教育部（77）</w:t>
      </w:r>
      <w:proofErr w:type="gramStart"/>
      <w:r w:rsidRPr="00FC3D60">
        <w:rPr>
          <w:rFonts w:hint="eastAsia"/>
          <w:sz w:val="20"/>
          <w:szCs w:val="20"/>
        </w:rPr>
        <w:t>台參字第14401</w:t>
      </w:r>
      <w:proofErr w:type="gramEnd"/>
      <w:r w:rsidRPr="00FC3D60">
        <w:rPr>
          <w:rFonts w:hint="eastAsia"/>
          <w:sz w:val="20"/>
          <w:szCs w:val="20"/>
        </w:rPr>
        <w:t>號令修正發布第23、61、70</w:t>
      </w:r>
      <w:proofErr w:type="gramStart"/>
      <w:r w:rsidRPr="00FC3D60">
        <w:rPr>
          <w:rFonts w:hint="eastAsia"/>
          <w:sz w:val="20"/>
          <w:szCs w:val="20"/>
        </w:rPr>
        <w:t>條</w:t>
      </w:r>
      <w:proofErr w:type="gramEnd"/>
      <w:r w:rsidRPr="00FC3D60">
        <w:rPr>
          <w:rFonts w:hint="eastAsia"/>
          <w:sz w:val="20"/>
          <w:szCs w:val="20"/>
        </w:rPr>
        <w:t>條文</w:t>
      </w:r>
    </w:p>
    <w:p w:rsidR="00DE30E2" w:rsidRPr="00FC3D60" w:rsidRDefault="00DE30E2" w:rsidP="00DE30E2">
      <w:pPr>
        <w:spacing w:line="240" w:lineRule="exact"/>
        <w:jc w:val="right"/>
        <w:rPr>
          <w:sz w:val="20"/>
          <w:szCs w:val="20"/>
        </w:rPr>
      </w:pPr>
      <w:r w:rsidRPr="00FC3D60">
        <w:rPr>
          <w:rFonts w:hint="eastAsia"/>
          <w:sz w:val="20"/>
          <w:szCs w:val="20"/>
        </w:rPr>
        <w:t>3.中華民國八十一年十月二十八日教育部（81）</w:t>
      </w:r>
      <w:proofErr w:type="gramStart"/>
      <w:r w:rsidRPr="00FC3D60">
        <w:rPr>
          <w:rFonts w:hint="eastAsia"/>
          <w:sz w:val="20"/>
          <w:szCs w:val="20"/>
        </w:rPr>
        <w:t>台參字第59242</w:t>
      </w:r>
      <w:proofErr w:type="gramEnd"/>
      <w:r w:rsidRPr="00FC3D60">
        <w:rPr>
          <w:rFonts w:hint="eastAsia"/>
          <w:sz w:val="20"/>
          <w:szCs w:val="20"/>
        </w:rPr>
        <w:t>號令修正發布第1、7、11、20、25、27、30、51、52、58、61、62、64條條文；並刪除第60</w:t>
      </w:r>
      <w:proofErr w:type="gramStart"/>
      <w:r w:rsidRPr="00FC3D60">
        <w:rPr>
          <w:rFonts w:hint="eastAsia"/>
          <w:sz w:val="20"/>
          <w:szCs w:val="20"/>
        </w:rPr>
        <w:t>條</w:t>
      </w:r>
      <w:proofErr w:type="gramEnd"/>
      <w:r w:rsidRPr="00FC3D60">
        <w:rPr>
          <w:rFonts w:hint="eastAsia"/>
          <w:sz w:val="20"/>
          <w:szCs w:val="20"/>
        </w:rPr>
        <w:t>條文</w:t>
      </w:r>
    </w:p>
    <w:p w:rsidR="00DE30E2" w:rsidRPr="00FC3D60" w:rsidRDefault="00DE30E2" w:rsidP="00DE30E2">
      <w:pPr>
        <w:spacing w:line="240" w:lineRule="exact"/>
        <w:jc w:val="right"/>
        <w:rPr>
          <w:sz w:val="20"/>
          <w:szCs w:val="20"/>
        </w:rPr>
      </w:pPr>
      <w:r w:rsidRPr="00FC3D60">
        <w:rPr>
          <w:rFonts w:hint="eastAsia"/>
          <w:sz w:val="20"/>
          <w:szCs w:val="20"/>
        </w:rPr>
        <w:t>4.中華民國八十八年六月二十九日教育部（88）</w:t>
      </w:r>
      <w:proofErr w:type="gramStart"/>
      <w:r w:rsidRPr="00FC3D60">
        <w:rPr>
          <w:rFonts w:hint="eastAsia"/>
          <w:sz w:val="20"/>
          <w:szCs w:val="20"/>
        </w:rPr>
        <w:t>台參字第88075896</w:t>
      </w:r>
      <w:proofErr w:type="gramEnd"/>
      <w:r w:rsidRPr="00FC3D60">
        <w:rPr>
          <w:rFonts w:hint="eastAsia"/>
          <w:sz w:val="20"/>
          <w:szCs w:val="20"/>
        </w:rPr>
        <w:t>號令修正發布第8條之附件</w:t>
      </w:r>
    </w:p>
    <w:p w:rsidR="00DE30E2" w:rsidRPr="00FC3D60" w:rsidRDefault="00DE30E2" w:rsidP="00DE30E2">
      <w:pPr>
        <w:spacing w:line="240" w:lineRule="exact"/>
        <w:jc w:val="right"/>
        <w:rPr>
          <w:sz w:val="20"/>
          <w:szCs w:val="20"/>
        </w:rPr>
      </w:pPr>
      <w:r w:rsidRPr="00FC3D60">
        <w:rPr>
          <w:rFonts w:hint="eastAsia"/>
          <w:sz w:val="20"/>
          <w:szCs w:val="20"/>
        </w:rPr>
        <w:t>5.中華民國八十九年一月七日教育部（89）</w:t>
      </w:r>
      <w:proofErr w:type="gramStart"/>
      <w:r w:rsidRPr="00FC3D60">
        <w:rPr>
          <w:rFonts w:hint="eastAsia"/>
          <w:sz w:val="20"/>
          <w:szCs w:val="20"/>
        </w:rPr>
        <w:t>台參字第89001946</w:t>
      </w:r>
      <w:proofErr w:type="gramEnd"/>
      <w:r w:rsidRPr="00FC3D60">
        <w:rPr>
          <w:rFonts w:hint="eastAsia"/>
          <w:sz w:val="20"/>
          <w:szCs w:val="20"/>
        </w:rPr>
        <w:t>號令修正發布全文28條；並自發布日起施行</w:t>
      </w:r>
    </w:p>
    <w:p w:rsidR="00DE30E2" w:rsidRPr="00FC3D60" w:rsidRDefault="00DE30E2" w:rsidP="00DE30E2">
      <w:pPr>
        <w:spacing w:line="240" w:lineRule="exact"/>
        <w:jc w:val="right"/>
        <w:rPr>
          <w:sz w:val="20"/>
          <w:szCs w:val="20"/>
        </w:rPr>
      </w:pPr>
      <w:r w:rsidRPr="00FC3D60">
        <w:rPr>
          <w:rFonts w:hint="eastAsia"/>
          <w:sz w:val="20"/>
          <w:szCs w:val="20"/>
        </w:rPr>
        <w:t>6.中華民國九十五年七月十八日教育部</w:t>
      </w:r>
      <w:proofErr w:type="gramStart"/>
      <w:r w:rsidRPr="00FC3D60">
        <w:rPr>
          <w:rFonts w:hint="eastAsia"/>
          <w:sz w:val="20"/>
          <w:szCs w:val="20"/>
        </w:rPr>
        <w:t>台參字第0950104957</w:t>
      </w:r>
      <w:proofErr w:type="gramEnd"/>
      <w:r w:rsidRPr="00FC3D60">
        <w:rPr>
          <w:rFonts w:hint="eastAsia"/>
          <w:sz w:val="20"/>
          <w:szCs w:val="20"/>
        </w:rPr>
        <w:t>B號令修正發布全文27條；並九十五年八月一日施行&gt;&gt;原條文</w:t>
      </w:r>
    </w:p>
    <w:p w:rsidR="00DE30E2" w:rsidRPr="00FC3D60" w:rsidRDefault="00DE30E2" w:rsidP="00DE30E2">
      <w:pPr>
        <w:spacing w:line="240" w:lineRule="exact"/>
        <w:jc w:val="right"/>
        <w:rPr>
          <w:sz w:val="20"/>
          <w:szCs w:val="20"/>
        </w:rPr>
      </w:pPr>
      <w:r w:rsidRPr="00FC3D60">
        <w:rPr>
          <w:rFonts w:hint="eastAsia"/>
          <w:sz w:val="20"/>
          <w:szCs w:val="20"/>
        </w:rPr>
        <w:t>7.中華民國九十七年十一月二十七日教育部</w:t>
      </w:r>
      <w:proofErr w:type="gramStart"/>
      <w:r w:rsidRPr="00FC3D60">
        <w:rPr>
          <w:rFonts w:hint="eastAsia"/>
          <w:sz w:val="20"/>
          <w:szCs w:val="20"/>
        </w:rPr>
        <w:t>台參字第</w:t>
      </w:r>
      <w:smartTag w:uri="urn:schemas-microsoft-com:office:smarttags" w:element="chmetcnv">
        <w:smartTagPr>
          <w:attr w:name="TCSC" w:val="0"/>
          <w:attr w:name="NumberType" w:val="1"/>
          <w:attr w:name="Negative" w:val="False"/>
          <w:attr w:name="HasSpace" w:val="False"/>
          <w:attr w:name="SourceValue" w:val="970222590"/>
          <w:attr w:name="UnitName" w:val="C"/>
        </w:smartTagPr>
        <w:r w:rsidRPr="00FC3D60">
          <w:rPr>
            <w:rFonts w:hint="eastAsia"/>
            <w:sz w:val="20"/>
            <w:szCs w:val="20"/>
          </w:rPr>
          <w:t>0970222590</w:t>
        </w:r>
        <w:proofErr w:type="gramEnd"/>
        <w:r w:rsidRPr="00FC3D60">
          <w:rPr>
            <w:rFonts w:hint="eastAsia"/>
            <w:sz w:val="20"/>
            <w:szCs w:val="20"/>
          </w:rPr>
          <w:t>C</w:t>
        </w:r>
      </w:smartTag>
      <w:r w:rsidRPr="00FC3D60">
        <w:rPr>
          <w:rFonts w:hint="eastAsia"/>
          <w:sz w:val="20"/>
          <w:szCs w:val="20"/>
        </w:rPr>
        <w:t>號令修正發布全文24條；除第3、17、19、21、22條及18條第2項規定自九十七年八月一日施行外，其餘自發布日施行</w:t>
      </w:r>
    </w:p>
    <w:p w:rsidR="00DE30E2" w:rsidRDefault="00DE30E2" w:rsidP="00DE30E2">
      <w:pPr>
        <w:spacing w:line="240" w:lineRule="exact"/>
        <w:jc w:val="right"/>
        <w:rPr>
          <w:sz w:val="20"/>
          <w:szCs w:val="20"/>
        </w:rPr>
      </w:pPr>
      <w:r w:rsidRPr="00FC3D60">
        <w:rPr>
          <w:rFonts w:hint="eastAsia"/>
          <w:sz w:val="20"/>
          <w:szCs w:val="20"/>
        </w:rPr>
        <w:t>8.中華民國九十八年十</w:t>
      </w:r>
      <w:smartTag w:uri="urn:schemas-microsoft-com:office:smarttags" w:element="chsdate">
        <w:smartTagPr>
          <w:attr w:name="IsROCDate" w:val="False"/>
          <w:attr w:name="IsLunarDate" w:val="False"/>
          <w:attr w:name="Day" w:val="4"/>
          <w:attr w:name="Month" w:val="1"/>
          <w:attr w:name="Year" w:val="2013"/>
        </w:smartTagPr>
        <w:r w:rsidRPr="00FC3D60">
          <w:rPr>
            <w:rFonts w:hint="eastAsia"/>
            <w:sz w:val="20"/>
            <w:szCs w:val="20"/>
          </w:rPr>
          <w:t>一月四日</w:t>
        </w:r>
      </w:smartTag>
      <w:r w:rsidRPr="00FC3D60">
        <w:rPr>
          <w:rFonts w:hint="eastAsia"/>
          <w:sz w:val="20"/>
          <w:szCs w:val="20"/>
        </w:rPr>
        <w:t>教育部</w:t>
      </w:r>
      <w:proofErr w:type="gramStart"/>
      <w:r w:rsidRPr="00FC3D60">
        <w:rPr>
          <w:rFonts w:hint="eastAsia"/>
          <w:sz w:val="20"/>
          <w:szCs w:val="20"/>
        </w:rPr>
        <w:t>台參字第</w:t>
      </w:r>
      <w:smartTag w:uri="urn:schemas-microsoft-com:office:smarttags" w:element="chmetcnv">
        <w:smartTagPr>
          <w:attr w:name="TCSC" w:val="0"/>
          <w:attr w:name="NumberType" w:val="1"/>
          <w:attr w:name="Negative" w:val="False"/>
          <w:attr w:name="HasSpace" w:val="False"/>
          <w:attr w:name="SourceValue" w:val="980183534"/>
          <w:attr w:name="UnitName" w:val="C"/>
        </w:smartTagPr>
        <w:r w:rsidRPr="00FC3D60">
          <w:rPr>
            <w:rFonts w:hint="eastAsia"/>
            <w:sz w:val="20"/>
            <w:szCs w:val="20"/>
          </w:rPr>
          <w:t>0980183534</w:t>
        </w:r>
        <w:proofErr w:type="gramEnd"/>
        <w:r w:rsidRPr="00FC3D60">
          <w:rPr>
            <w:rFonts w:hint="eastAsia"/>
            <w:sz w:val="20"/>
            <w:szCs w:val="20"/>
          </w:rPr>
          <w:t>C</w:t>
        </w:r>
      </w:smartTag>
      <w:r w:rsidRPr="00FC3D60">
        <w:rPr>
          <w:rFonts w:hint="eastAsia"/>
          <w:sz w:val="20"/>
          <w:szCs w:val="20"/>
        </w:rPr>
        <w:t>號令修正發布第5、8、9、11、14、19、21、23條條文；除第8條第3項、第11條及第21條自九十九年八月一日施行外，其餘自發布日施行</w:t>
      </w:r>
    </w:p>
    <w:p w:rsidR="00DE30E2" w:rsidRDefault="00DE30E2" w:rsidP="00DE30E2">
      <w:pPr>
        <w:spacing w:line="240" w:lineRule="exact"/>
        <w:jc w:val="right"/>
        <w:rPr>
          <w:sz w:val="20"/>
          <w:szCs w:val="20"/>
        </w:rPr>
      </w:pPr>
      <w:r w:rsidRPr="00E920FD">
        <w:rPr>
          <w:rFonts w:hint="eastAsia"/>
          <w:sz w:val="20"/>
          <w:szCs w:val="20"/>
        </w:rPr>
        <w:t>中華民國</w:t>
      </w:r>
      <w:r w:rsidRPr="00E920FD">
        <w:rPr>
          <w:sz w:val="20"/>
          <w:szCs w:val="20"/>
        </w:rPr>
        <w:t>102年9月13日</w:t>
      </w:r>
    </w:p>
    <w:p w:rsidR="00DE30E2" w:rsidRPr="00612D51" w:rsidRDefault="00DE30E2" w:rsidP="00DE30E2">
      <w:pPr>
        <w:spacing w:line="240" w:lineRule="exact"/>
        <w:jc w:val="right"/>
        <w:rPr>
          <w:sz w:val="20"/>
          <w:szCs w:val="20"/>
        </w:rPr>
      </w:pPr>
      <w:proofErr w:type="gramStart"/>
      <w:r w:rsidRPr="00F122AC">
        <w:rPr>
          <w:rFonts w:hint="eastAsia"/>
          <w:sz w:val="20"/>
          <w:szCs w:val="20"/>
        </w:rPr>
        <w:t>臺</w:t>
      </w:r>
      <w:proofErr w:type="gramEnd"/>
      <w:r w:rsidRPr="00E920FD">
        <w:rPr>
          <w:rFonts w:hint="eastAsia"/>
          <w:sz w:val="20"/>
          <w:szCs w:val="20"/>
        </w:rPr>
        <w:t>教授</w:t>
      </w:r>
      <w:proofErr w:type="gramStart"/>
      <w:r w:rsidRPr="00E920FD">
        <w:rPr>
          <w:rFonts w:hint="eastAsia"/>
          <w:sz w:val="20"/>
          <w:szCs w:val="20"/>
        </w:rPr>
        <w:t>國部字第</w:t>
      </w:r>
      <w:r w:rsidRPr="00E920FD">
        <w:rPr>
          <w:sz w:val="20"/>
          <w:szCs w:val="20"/>
        </w:rPr>
        <w:t>1020077647</w:t>
      </w:r>
      <w:proofErr w:type="gramEnd"/>
      <w:r w:rsidRPr="00E920FD">
        <w:rPr>
          <w:sz w:val="20"/>
          <w:szCs w:val="20"/>
        </w:rPr>
        <w:t>B號令修正部分條文</w:t>
      </w:r>
    </w:p>
    <w:p w:rsidR="00DE30E2" w:rsidRDefault="00DE30E2" w:rsidP="00DE30E2">
      <w:pPr>
        <w:rPr>
          <w:rFonts w:ascii="Arial"/>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0863"/>
      </w:tblGrid>
      <w:tr w:rsidR="00DE30E2" w:rsidRPr="008718E4" w:rsidTr="00EF6E2F">
        <w:trPr>
          <w:tblCellSpacing w:w="15" w:type="dxa"/>
          <w:jc w:val="center"/>
        </w:trPr>
        <w:tc>
          <w:tcPr>
            <w:tcW w:w="0" w:type="auto"/>
            <w:vAlign w:val="center"/>
            <w:hideMark/>
          </w:tcPr>
          <w:tbl>
            <w:tblPr>
              <w:tblW w:w="9214" w:type="dxa"/>
              <w:tblCellSpacing w:w="15" w:type="dxa"/>
              <w:tblCellMar>
                <w:top w:w="15" w:type="dxa"/>
                <w:left w:w="15" w:type="dxa"/>
                <w:bottom w:w="15" w:type="dxa"/>
                <w:right w:w="15" w:type="dxa"/>
              </w:tblCellMar>
              <w:tblLook w:val="04A0" w:firstRow="1" w:lastRow="0" w:firstColumn="1" w:lastColumn="0" w:noHBand="0" w:noVBand="1"/>
            </w:tblPr>
            <w:tblGrid>
              <w:gridCol w:w="1275"/>
              <w:gridCol w:w="180"/>
              <w:gridCol w:w="7759"/>
            </w:tblGrid>
            <w:tr w:rsidR="00DE30E2" w:rsidRPr="00FD47CB" w:rsidTr="00EF6E2F">
              <w:trPr>
                <w:tblCellSpacing w:w="15" w:type="dxa"/>
              </w:trPr>
              <w:tc>
                <w:tcPr>
                  <w:tcW w:w="667" w:type="pct"/>
                  <w:noWrap/>
                  <w:vAlign w:val="center"/>
                  <w:hideMark/>
                </w:tcPr>
                <w:p w:rsidR="00DE30E2" w:rsidRPr="00C95089" w:rsidRDefault="00DE30E2" w:rsidP="00EF6E2F">
                  <w:pPr>
                    <w:rPr>
                      <w:sz w:val="24"/>
                    </w:rPr>
                  </w:pPr>
                  <w:hyperlink r:id="rId5" w:history="1">
                    <w:r w:rsidRPr="00C95089">
                      <w:rPr>
                        <w:sz w:val="24"/>
                      </w:rPr>
                      <w:t>第 1 條</w:t>
                    </w:r>
                  </w:hyperlink>
                  <w:r w:rsidRPr="00C95089">
                    <w:rPr>
                      <w:sz w:val="24"/>
                    </w:rPr>
                    <w:t xml:space="preserve"> </w:t>
                  </w:r>
                </w:p>
              </w:tc>
              <w:tc>
                <w:tcPr>
                  <w:tcW w:w="27" w:type="pct"/>
                  <w:vAlign w:val="center"/>
                  <w:hideMark/>
                </w:tcPr>
                <w:p w:rsidR="00DE30E2" w:rsidRPr="00C95089" w:rsidRDefault="00DE30E2" w:rsidP="00EF6E2F">
                  <w:pPr>
                    <w:rPr>
                      <w:sz w:val="24"/>
                    </w:rPr>
                  </w:pPr>
                </w:p>
              </w:tc>
              <w:tc>
                <w:tcPr>
                  <w:tcW w:w="4240" w:type="pct"/>
                  <w:vAlign w:val="center"/>
                  <w:hideMark/>
                </w:tcPr>
                <w:p w:rsidR="00DE30E2" w:rsidRPr="00C95089" w:rsidRDefault="00DE30E2" w:rsidP="00EF6E2F">
                  <w:pPr>
                    <w:rPr>
                      <w:sz w:val="24"/>
                    </w:rPr>
                  </w:pPr>
                  <w:r w:rsidRPr="00C95089">
                    <w:rPr>
                      <w:rFonts w:hint="eastAsia"/>
                      <w:sz w:val="24"/>
                    </w:rPr>
                    <w:t>本辦法依職業學校法第四條第四項規定訂定之。</w:t>
                  </w:r>
                </w:p>
              </w:tc>
            </w:tr>
            <w:tr w:rsidR="00DE30E2" w:rsidRPr="00FD47CB" w:rsidTr="00EF6E2F">
              <w:trPr>
                <w:tblCellSpacing w:w="15" w:type="dxa"/>
              </w:trPr>
              <w:tc>
                <w:tcPr>
                  <w:tcW w:w="667" w:type="pct"/>
                  <w:noWrap/>
                  <w:vAlign w:val="center"/>
                  <w:hideMark/>
                </w:tcPr>
                <w:p w:rsidR="00DE30E2" w:rsidRPr="00C95089" w:rsidRDefault="00DE30E2" w:rsidP="00EF6E2F">
                  <w:pPr>
                    <w:widowControl/>
                    <w:rPr>
                      <w:sz w:val="24"/>
                    </w:rPr>
                  </w:pPr>
                  <w:hyperlink r:id="rId6" w:history="1">
                    <w:r w:rsidRPr="00C95089">
                      <w:rPr>
                        <w:sz w:val="24"/>
                      </w:rPr>
                      <w:t>第 2 條</w:t>
                    </w:r>
                  </w:hyperlink>
                  <w:r w:rsidRPr="00C95089">
                    <w:rPr>
                      <w:sz w:val="24"/>
                    </w:rPr>
                    <w:t xml:space="preserve"> </w:t>
                  </w:r>
                </w:p>
                <w:p w:rsidR="00DE30E2" w:rsidRPr="00C95089" w:rsidRDefault="00DE30E2" w:rsidP="00EF6E2F">
                  <w:pPr>
                    <w:widowControl/>
                    <w:rPr>
                      <w:sz w:val="24"/>
                    </w:rPr>
                  </w:pPr>
                </w:p>
                <w:p w:rsidR="00DE30E2" w:rsidRPr="00C95089" w:rsidRDefault="00DE30E2" w:rsidP="00EF6E2F">
                  <w:pPr>
                    <w:widowControl/>
                    <w:rPr>
                      <w:sz w:val="24"/>
                    </w:rPr>
                  </w:pPr>
                  <w:r w:rsidRPr="00C95089">
                    <w:rPr>
                      <w:rFonts w:hint="eastAsia"/>
                      <w:sz w:val="24"/>
                    </w:rPr>
                    <w:t>第</w:t>
                  </w:r>
                  <w:r w:rsidRPr="00C95089">
                    <w:rPr>
                      <w:sz w:val="24"/>
                    </w:rPr>
                    <w:t xml:space="preserve"> </w:t>
                  </w:r>
                  <w:r w:rsidRPr="00C95089">
                    <w:rPr>
                      <w:rFonts w:hint="eastAsia"/>
                      <w:sz w:val="24"/>
                    </w:rPr>
                    <w:t>3</w:t>
                  </w:r>
                  <w:r w:rsidRPr="00C95089">
                    <w:rPr>
                      <w:sz w:val="24"/>
                    </w:rPr>
                    <w:t xml:space="preserve"> 條</w:t>
                  </w:r>
                </w:p>
                <w:p w:rsidR="00DE30E2" w:rsidRPr="00C95089" w:rsidRDefault="00DE30E2" w:rsidP="00EF6E2F">
                  <w:pPr>
                    <w:rPr>
                      <w:sz w:val="24"/>
                    </w:rPr>
                  </w:pPr>
                </w:p>
              </w:tc>
              <w:tc>
                <w:tcPr>
                  <w:tcW w:w="27" w:type="pct"/>
                  <w:vAlign w:val="center"/>
                  <w:hideMark/>
                </w:tcPr>
                <w:p w:rsidR="00DE30E2" w:rsidRPr="00C95089" w:rsidRDefault="00DE30E2" w:rsidP="00EF6E2F">
                  <w:pPr>
                    <w:rPr>
                      <w:sz w:val="24"/>
                    </w:rPr>
                  </w:pPr>
                </w:p>
              </w:tc>
              <w:tc>
                <w:tcPr>
                  <w:tcW w:w="4240" w:type="pct"/>
                  <w:vAlign w:val="center"/>
                  <w:hideMark/>
                </w:tcPr>
                <w:p w:rsidR="00DE30E2" w:rsidRPr="00C95089" w:rsidRDefault="00DE30E2" w:rsidP="00DE30E2">
                  <w:pPr>
                    <w:ind w:rightChars="-117" w:right="-257"/>
                    <w:rPr>
                      <w:sz w:val="24"/>
                    </w:rPr>
                  </w:pPr>
                  <w:r w:rsidRPr="00C95089">
                    <w:rPr>
                      <w:rFonts w:hint="eastAsia"/>
                      <w:sz w:val="24"/>
                    </w:rPr>
                    <w:t>本辦法適用於職業學校日、夜間部各職業類科、高級中學附設職業類科、</w:t>
                  </w:r>
                  <w:r w:rsidRPr="008A63A0">
                    <w:rPr>
                      <w:rFonts w:hint="eastAsia"/>
                    </w:rPr>
                    <w:t>實</w:t>
                  </w:r>
                  <w:r w:rsidRPr="00C95089">
                    <w:rPr>
                      <w:rFonts w:hint="eastAsia"/>
                      <w:sz w:val="24"/>
                    </w:rPr>
                    <w:t>實用技能學程學生。</w:t>
                  </w:r>
                </w:p>
                <w:p w:rsidR="00DE30E2" w:rsidRPr="00C95089" w:rsidRDefault="00DE30E2" w:rsidP="00EF6E2F">
                  <w:pPr>
                    <w:rPr>
                      <w:sz w:val="24"/>
                    </w:rPr>
                  </w:pPr>
                  <w:r w:rsidRPr="00C95089">
                    <w:rPr>
                      <w:rFonts w:hint="eastAsia"/>
                      <w:sz w:val="24"/>
                    </w:rPr>
                    <w:t>職業學校附設普通科學生之成績考查，適用高級中學學生成績考查辦法規</w:t>
                  </w:r>
                </w:p>
                <w:p w:rsidR="00DE30E2" w:rsidRPr="00C95089" w:rsidRDefault="00DE30E2" w:rsidP="00EF6E2F">
                  <w:pPr>
                    <w:rPr>
                      <w:sz w:val="24"/>
                    </w:rPr>
                  </w:pPr>
                  <w:r w:rsidRPr="00C95089">
                    <w:rPr>
                      <w:rFonts w:hint="eastAsia"/>
                      <w:sz w:val="24"/>
                    </w:rPr>
                    <w:t>定。</w:t>
                  </w:r>
                </w:p>
              </w:tc>
            </w:tr>
            <w:tr w:rsidR="00DE30E2" w:rsidRPr="008718E4" w:rsidTr="00EF6E2F">
              <w:trPr>
                <w:tblCellSpacing w:w="15" w:type="dxa"/>
              </w:trPr>
              <w:tc>
                <w:tcPr>
                  <w:tcW w:w="667" w:type="pct"/>
                  <w:noWrap/>
                  <w:vAlign w:val="center"/>
                  <w:hideMark/>
                </w:tcPr>
                <w:p w:rsidR="00DE30E2" w:rsidRDefault="00DE30E2" w:rsidP="00EF6E2F">
                  <w:pPr>
                    <w:widowControl/>
                    <w:rPr>
                      <w:sz w:val="24"/>
                    </w:rPr>
                  </w:pPr>
                  <w:hyperlink r:id="rId7" w:history="1">
                    <w:r w:rsidRPr="00C95089">
                      <w:rPr>
                        <w:sz w:val="24"/>
                      </w:rPr>
                      <w:t>第 4 條</w:t>
                    </w:r>
                  </w:hyperlink>
                </w:p>
                <w:p w:rsidR="00DE30E2" w:rsidRDefault="00DE30E2" w:rsidP="00EF6E2F">
                  <w:pPr>
                    <w:widowControl/>
                    <w:rPr>
                      <w:sz w:val="24"/>
                    </w:rPr>
                  </w:pPr>
                </w:p>
                <w:p w:rsidR="00DE30E2" w:rsidRPr="00C95089" w:rsidRDefault="00DE30E2" w:rsidP="00EF6E2F">
                  <w:pPr>
                    <w:widowControl/>
                    <w:rPr>
                      <w:rFonts w:cs="新細明體"/>
                      <w:kern w:val="0"/>
                      <w:sz w:val="24"/>
                    </w:rPr>
                  </w:pPr>
                </w:p>
              </w:tc>
              <w:tc>
                <w:tcPr>
                  <w:tcW w:w="27" w:type="pct"/>
                  <w:vAlign w:val="center"/>
                  <w:hideMark/>
                </w:tcPr>
                <w:p w:rsidR="00DE30E2" w:rsidRPr="00C95089" w:rsidRDefault="00DE30E2" w:rsidP="00EF6E2F">
                  <w:pPr>
                    <w:widowControl/>
                    <w:jc w:val="center"/>
                    <w:rPr>
                      <w:rFonts w:cs="新細明體"/>
                      <w:kern w:val="0"/>
                      <w:sz w:val="24"/>
                    </w:rPr>
                  </w:pPr>
                </w:p>
              </w:tc>
              <w:tc>
                <w:tcPr>
                  <w:tcW w:w="4240" w:type="pct"/>
                  <w:vAlign w:val="center"/>
                  <w:hideMark/>
                </w:tcPr>
                <w:p w:rsidR="00DE30E2"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學業成績考查之科目，依教育部所定課程規定辦理。</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每一科目學分之計算，以每學期每週授課一節，或總授課節數達十八節，為一學分。</w:t>
                  </w:r>
                </w:p>
              </w:tc>
            </w:tr>
            <w:tr w:rsidR="00DE30E2" w:rsidRPr="008718E4" w:rsidTr="00EF6E2F">
              <w:trPr>
                <w:tblCellSpacing w:w="15" w:type="dxa"/>
              </w:trPr>
              <w:tc>
                <w:tcPr>
                  <w:tcW w:w="667" w:type="pct"/>
                  <w:noWrap/>
                  <w:vAlign w:val="center"/>
                  <w:hideMark/>
                </w:tcPr>
                <w:p w:rsidR="00DE30E2" w:rsidRPr="00C95089" w:rsidRDefault="00DE30E2" w:rsidP="00EF6E2F">
                  <w:pPr>
                    <w:widowControl/>
                    <w:rPr>
                      <w:rFonts w:cs="新細明體"/>
                      <w:kern w:val="0"/>
                      <w:sz w:val="24"/>
                    </w:rPr>
                  </w:pPr>
                  <w:hyperlink r:id="rId8" w:history="1">
                    <w:r w:rsidRPr="00C95089">
                      <w:rPr>
                        <w:sz w:val="24"/>
                      </w:rPr>
                      <w:t>第 5 條</w:t>
                    </w:r>
                  </w:hyperlink>
                  <w:r w:rsidRPr="00C95089">
                    <w:rPr>
                      <w:rFonts w:cs="新細明體"/>
                      <w:kern w:val="0"/>
                      <w:sz w:val="24"/>
                    </w:rPr>
                    <w:t xml:space="preserve"> </w:t>
                  </w:r>
                </w:p>
                <w:p w:rsidR="00DE30E2" w:rsidRPr="00C95089" w:rsidRDefault="00DE30E2" w:rsidP="00EF6E2F">
                  <w:pPr>
                    <w:widowControl/>
                    <w:rPr>
                      <w:rFonts w:cs="新細明體"/>
                      <w:kern w:val="0"/>
                      <w:sz w:val="24"/>
                    </w:rPr>
                  </w:pPr>
                </w:p>
                <w:p w:rsidR="00DE30E2" w:rsidRPr="00C95089" w:rsidRDefault="00DE30E2" w:rsidP="00EF6E2F">
                  <w:pPr>
                    <w:widowControl/>
                    <w:rPr>
                      <w:rFonts w:cs="新細明體"/>
                      <w:kern w:val="0"/>
                      <w:sz w:val="24"/>
                    </w:rPr>
                  </w:pPr>
                </w:p>
              </w:tc>
              <w:tc>
                <w:tcPr>
                  <w:tcW w:w="27" w:type="pct"/>
                  <w:vAlign w:val="center"/>
                  <w:hideMark/>
                </w:tcPr>
                <w:p w:rsidR="00DE30E2" w:rsidRPr="00C95089" w:rsidRDefault="00DE30E2" w:rsidP="00EF6E2F">
                  <w:pPr>
                    <w:widowControl/>
                    <w:jc w:val="center"/>
                    <w:rPr>
                      <w:rFonts w:cs="新細明體"/>
                      <w:kern w:val="0"/>
                      <w:sz w:val="24"/>
                    </w:rPr>
                  </w:pPr>
                </w:p>
              </w:tc>
              <w:tc>
                <w:tcPr>
                  <w:tcW w:w="4240" w:type="pct"/>
                  <w:vAlign w:val="center"/>
                  <w:hideMark/>
                </w:tcPr>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學業成績考查應參照學生身心發展與個別差異，並依學科及活動之性質，</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兼顧認知、技能及情意等學習結果，</w:t>
                  </w:r>
                  <w:proofErr w:type="gramStart"/>
                  <w:r w:rsidRPr="00C95089">
                    <w:rPr>
                      <w:rFonts w:cs="細明體" w:hint="eastAsia"/>
                      <w:kern w:val="0"/>
                      <w:sz w:val="24"/>
                    </w:rPr>
                    <w:t>採</w:t>
                  </w:r>
                  <w:proofErr w:type="gramEnd"/>
                  <w:r w:rsidRPr="00C95089">
                    <w:rPr>
                      <w:rFonts w:cs="細明體" w:hint="eastAsia"/>
                      <w:kern w:val="0"/>
                      <w:sz w:val="24"/>
                    </w:rPr>
                    <w:t>擇多元及適當之方法，於日常及定</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期為之，其日常及定期考查方式，除本辦法另有規定外，由各</w:t>
                  </w:r>
                  <w:proofErr w:type="gramStart"/>
                  <w:r w:rsidRPr="00C95089">
                    <w:rPr>
                      <w:rFonts w:cs="細明體" w:hint="eastAsia"/>
                      <w:kern w:val="0"/>
                      <w:sz w:val="24"/>
                    </w:rPr>
                    <w:t>校定</w:t>
                  </w:r>
                  <w:proofErr w:type="gramEnd"/>
                  <w:r w:rsidRPr="00C95089">
                    <w:rPr>
                      <w:rFonts w:cs="細明體" w:hint="eastAsia"/>
                      <w:kern w:val="0"/>
                      <w:sz w:val="24"/>
                    </w:rPr>
                    <w:t>之。</w:t>
                  </w:r>
                </w:p>
              </w:tc>
            </w:tr>
            <w:tr w:rsidR="00DE30E2" w:rsidRPr="008718E4" w:rsidTr="00EF6E2F">
              <w:trPr>
                <w:tblCellSpacing w:w="15" w:type="dxa"/>
              </w:trPr>
              <w:tc>
                <w:tcPr>
                  <w:tcW w:w="667" w:type="pct"/>
                  <w:noWrap/>
                  <w:vAlign w:val="center"/>
                  <w:hideMark/>
                </w:tcPr>
                <w:p w:rsidR="00DE30E2" w:rsidRPr="00C95089" w:rsidRDefault="00DE30E2" w:rsidP="00EF6E2F">
                  <w:pPr>
                    <w:widowControl/>
                    <w:rPr>
                      <w:sz w:val="24"/>
                    </w:rPr>
                  </w:pPr>
                  <w:hyperlink r:id="rId9" w:history="1">
                    <w:r w:rsidRPr="00C95089">
                      <w:rPr>
                        <w:sz w:val="24"/>
                      </w:rPr>
                      <w:t>第 6 條</w:t>
                    </w:r>
                  </w:hyperlink>
                  <w:r w:rsidRPr="00C95089">
                    <w:rPr>
                      <w:sz w:val="24"/>
                    </w:rPr>
                    <w:t xml:space="preserve"> </w:t>
                  </w:r>
                </w:p>
                <w:p w:rsidR="00DE30E2" w:rsidRPr="00C95089" w:rsidRDefault="00DE30E2" w:rsidP="00EF6E2F">
                  <w:pPr>
                    <w:widowControl/>
                    <w:rPr>
                      <w:rFonts w:cs="新細明體"/>
                      <w:kern w:val="0"/>
                      <w:sz w:val="24"/>
                    </w:rPr>
                  </w:pPr>
                </w:p>
              </w:tc>
              <w:tc>
                <w:tcPr>
                  <w:tcW w:w="27" w:type="pct"/>
                  <w:vAlign w:val="center"/>
                  <w:hideMark/>
                </w:tcPr>
                <w:p w:rsidR="00DE30E2" w:rsidRPr="00C95089" w:rsidRDefault="00DE30E2" w:rsidP="00EF6E2F">
                  <w:pPr>
                    <w:widowControl/>
                    <w:jc w:val="center"/>
                    <w:rPr>
                      <w:rFonts w:cs="新細明體"/>
                      <w:kern w:val="0"/>
                      <w:sz w:val="24"/>
                    </w:rPr>
                  </w:pPr>
                </w:p>
              </w:tc>
              <w:tc>
                <w:tcPr>
                  <w:tcW w:w="4240" w:type="pct"/>
                  <w:vAlign w:val="center"/>
                  <w:hideMark/>
                </w:tcPr>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學期學業總平均成績之計算，為各科目學期成績乘以各該科目學分數所得</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之總和，再以總學分數除之。</w:t>
                  </w:r>
                </w:p>
              </w:tc>
            </w:tr>
            <w:tr w:rsidR="00DE30E2" w:rsidRPr="008718E4" w:rsidTr="00EF6E2F">
              <w:trPr>
                <w:tblCellSpacing w:w="15" w:type="dxa"/>
              </w:trPr>
              <w:tc>
                <w:tcPr>
                  <w:tcW w:w="667" w:type="pct"/>
                  <w:noWrap/>
                  <w:vAlign w:val="center"/>
                  <w:hideMark/>
                </w:tcPr>
                <w:p w:rsidR="00DE30E2" w:rsidRPr="00C95089" w:rsidRDefault="00DE30E2" w:rsidP="00EF6E2F">
                  <w:pPr>
                    <w:widowControl/>
                    <w:rPr>
                      <w:sz w:val="24"/>
                    </w:rPr>
                  </w:pPr>
                  <w:hyperlink r:id="rId10" w:history="1">
                    <w:r w:rsidRPr="00C95089">
                      <w:rPr>
                        <w:sz w:val="24"/>
                      </w:rPr>
                      <w:t>第 7 條</w:t>
                    </w:r>
                  </w:hyperlink>
                  <w:r w:rsidRPr="00C95089">
                    <w:rPr>
                      <w:sz w:val="24"/>
                    </w:rPr>
                    <w:t xml:space="preserve"> </w:t>
                  </w:r>
                </w:p>
                <w:p w:rsidR="00DE30E2" w:rsidRPr="00C95089" w:rsidRDefault="00DE30E2" w:rsidP="00EF6E2F">
                  <w:pPr>
                    <w:widowControl/>
                    <w:rPr>
                      <w:rFonts w:cs="新細明體"/>
                      <w:kern w:val="0"/>
                      <w:sz w:val="24"/>
                    </w:rPr>
                  </w:pPr>
                </w:p>
                <w:p w:rsidR="00DE30E2" w:rsidRPr="00C95089" w:rsidRDefault="00DE30E2" w:rsidP="00EF6E2F">
                  <w:pPr>
                    <w:widowControl/>
                    <w:rPr>
                      <w:rFonts w:cs="新細明體"/>
                      <w:kern w:val="0"/>
                      <w:sz w:val="24"/>
                    </w:rPr>
                  </w:pPr>
                </w:p>
                <w:p w:rsidR="00DE30E2" w:rsidRPr="00C95089" w:rsidRDefault="00DE30E2" w:rsidP="00EF6E2F">
                  <w:pPr>
                    <w:widowControl/>
                    <w:rPr>
                      <w:rFonts w:cs="新細明體"/>
                      <w:kern w:val="0"/>
                      <w:sz w:val="24"/>
                    </w:rPr>
                  </w:pPr>
                </w:p>
                <w:p w:rsidR="00DE30E2" w:rsidRPr="00C95089" w:rsidRDefault="00DE30E2" w:rsidP="00EF6E2F">
                  <w:pPr>
                    <w:widowControl/>
                    <w:rPr>
                      <w:rFonts w:cs="新細明體"/>
                      <w:kern w:val="0"/>
                      <w:sz w:val="24"/>
                    </w:rPr>
                  </w:pPr>
                </w:p>
                <w:p w:rsidR="00DE30E2" w:rsidRPr="00C95089" w:rsidRDefault="00DE30E2" w:rsidP="00EF6E2F">
                  <w:pPr>
                    <w:widowControl/>
                    <w:rPr>
                      <w:rFonts w:cs="新細明體"/>
                      <w:kern w:val="0"/>
                      <w:sz w:val="24"/>
                    </w:rPr>
                  </w:pPr>
                </w:p>
                <w:p w:rsidR="00DE30E2" w:rsidRPr="00C95089" w:rsidRDefault="00DE30E2" w:rsidP="00EF6E2F">
                  <w:pPr>
                    <w:widowControl/>
                    <w:rPr>
                      <w:rFonts w:cs="新細明體"/>
                      <w:kern w:val="0"/>
                      <w:sz w:val="24"/>
                    </w:rPr>
                  </w:pPr>
                </w:p>
                <w:p w:rsidR="00DE30E2" w:rsidRPr="00C95089" w:rsidRDefault="00DE30E2" w:rsidP="00EF6E2F">
                  <w:pPr>
                    <w:widowControl/>
                    <w:rPr>
                      <w:rFonts w:cs="新細明體"/>
                      <w:kern w:val="0"/>
                      <w:sz w:val="24"/>
                    </w:rPr>
                  </w:pPr>
                </w:p>
                <w:p w:rsidR="00DE30E2" w:rsidRPr="00C95089" w:rsidRDefault="00DE30E2" w:rsidP="00EF6E2F">
                  <w:pPr>
                    <w:widowControl/>
                    <w:rPr>
                      <w:rFonts w:cs="新細明體"/>
                      <w:kern w:val="0"/>
                      <w:sz w:val="24"/>
                    </w:rPr>
                  </w:pPr>
                </w:p>
                <w:p w:rsidR="00DE30E2" w:rsidRPr="00C95089" w:rsidRDefault="00DE30E2" w:rsidP="00EF6E2F">
                  <w:pPr>
                    <w:widowControl/>
                    <w:rPr>
                      <w:rFonts w:cs="新細明體"/>
                      <w:kern w:val="0"/>
                      <w:sz w:val="24"/>
                    </w:rPr>
                  </w:pPr>
                </w:p>
              </w:tc>
              <w:tc>
                <w:tcPr>
                  <w:tcW w:w="27" w:type="pct"/>
                  <w:vAlign w:val="center"/>
                  <w:hideMark/>
                </w:tcPr>
                <w:p w:rsidR="00DE30E2" w:rsidRPr="00C95089" w:rsidRDefault="00DE30E2" w:rsidP="00EF6E2F">
                  <w:pPr>
                    <w:widowControl/>
                    <w:jc w:val="center"/>
                    <w:rPr>
                      <w:rFonts w:cs="新細明體"/>
                      <w:kern w:val="0"/>
                      <w:sz w:val="24"/>
                    </w:rPr>
                  </w:pPr>
                </w:p>
              </w:tc>
              <w:tc>
                <w:tcPr>
                  <w:tcW w:w="4240" w:type="pct"/>
                  <w:vAlign w:val="center"/>
                  <w:hideMark/>
                </w:tcPr>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學業成績以一百分為滿分，其及格基準規定如下：</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一、一般學生：</w:t>
                  </w:r>
                  <w:proofErr w:type="gramStart"/>
                  <w:r w:rsidRPr="00C95089">
                    <w:rPr>
                      <w:rFonts w:cs="細明體" w:hint="eastAsia"/>
                      <w:kern w:val="0"/>
                      <w:sz w:val="24"/>
                    </w:rPr>
                    <w:t>均以六十</w:t>
                  </w:r>
                  <w:proofErr w:type="gramEnd"/>
                  <w:r w:rsidRPr="00C95089">
                    <w:rPr>
                      <w:rFonts w:cs="細明體" w:hint="eastAsia"/>
                      <w:kern w:val="0"/>
                      <w:sz w:val="24"/>
                    </w:rPr>
                    <w:t>分為及格。</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二、依各種升學優待辦法入學之政府派赴國外工作人員子女、退伍軍人、</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 xml:space="preserve">    僑生、蒙藏學生、外國學生、重大災害地區學生、原住民學生及境外</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 xml:space="preserve">    優秀科技人才子女：初入學第一年以四十分為及格，第二年以五十分</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 xml:space="preserve">    為及格，第三年以後以六十分為及格。</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三、依中等以上學校運動成績優良升學輔導辦法規定入學之運動成績優良</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 xml:space="preserve">    學生：初入學第一年、第二年以四十分為及格，第三年以後以五十分</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 xml:space="preserve">    為及格。</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四、依中等以上學校技藝技能優良學生</w:t>
                  </w:r>
                  <w:proofErr w:type="gramStart"/>
                  <w:r w:rsidRPr="00C95089">
                    <w:rPr>
                      <w:rFonts w:cs="細明體" w:hint="eastAsia"/>
                      <w:kern w:val="0"/>
                      <w:sz w:val="24"/>
                    </w:rPr>
                    <w:t>甄</w:t>
                  </w:r>
                  <w:proofErr w:type="gramEnd"/>
                  <w:r w:rsidRPr="00C95089">
                    <w:rPr>
                      <w:rFonts w:cs="細明體" w:hint="eastAsia"/>
                      <w:kern w:val="0"/>
                      <w:sz w:val="24"/>
                    </w:rPr>
                    <w:t>審及保送入學辦法規定，入學之</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 xml:space="preserve">    國民中學之學生：初入學第一年、第二年以五十分為及格，第三年以</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 xml:space="preserve">    後以六十分為及格。</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前項各款學生學業成績不及格之科目，其成績達下列基準者，應予補考：</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一、一般學生：四十分。</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二、前項第二款至第四款學生：</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50" w:firstLine="360"/>
                    <w:rPr>
                      <w:rFonts w:cs="細明體"/>
                      <w:kern w:val="0"/>
                      <w:sz w:val="24"/>
                    </w:rPr>
                  </w:pPr>
                  <w:r w:rsidRPr="00C95089">
                    <w:rPr>
                      <w:rFonts w:cs="細明體" w:hint="eastAsia"/>
                      <w:kern w:val="0"/>
                      <w:sz w:val="24"/>
                    </w:rPr>
                    <w:t>（一）及格分數為四十分者：三十分。</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50" w:firstLine="360"/>
                    <w:rPr>
                      <w:rFonts w:cs="細明體"/>
                      <w:kern w:val="0"/>
                      <w:sz w:val="24"/>
                    </w:rPr>
                  </w:pPr>
                  <w:r w:rsidRPr="00C95089">
                    <w:rPr>
                      <w:rFonts w:cs="細明體" w:hint="eastAsia"/>
                      <w:kern w:val="0"/>
                      <w:sz w:val="24"/>
                    </w:rPr>
                    <w:t>（二）及格分數為五十分或六十分者：四十分。</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lastRenderedPageBreak/>
                    <w:t>三、前二款學生遭遇特殊事故者：由各</w:t>
                  </w:r>
                  <w:proofErr w:type="gramStart"/>
                  <w:r w:rsidRPr="00C95089">
                    <w:rPr>
                      <w:rFonts w:cs="細明體" w:hint="eastAsia"/>
                      <w:kern w:val="0"/>
                      <w:sz w:val="24"/>
                    </w:rPr>
                    <w:t>校定</w:t>
                  </w:r>
                  <w:proofErr w:type="gramEnd"/>
                  <w:r w:rsidRPr="00C95089">
                    <w:rPr>
                      <w:rFonts w:cs="細明體" w:hint="eastAsia"/>
                      <w:kern w:val="0"/>
                      <w:sz w:val="24"/>
                    </w:rPr>
                    <w:t>之。</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前項補考之成績，依下列規定</w:t>
                  </w:r>
                  <w:proofErr w:type="gramStart"/>
                  <w:r w:rsidRPr="00C95089">
                    <w:rPr>
                      <w:rFonts w:cs="細明體" w:hint="eastAsia"/>
                      <w:kern w:val="0"/>
                      <w:sz w:val="24"/>
                    </w:rPr>
                    <w:t>採</w:t>
                  </w:r>
                  <w:proofErr w:type="gramEnd"/>
                  <w:r w:rsidRPr="00C95089">
                    <w:rPr>
                      <w:rFonts w:cs="細明體" w:hint="eastAsia"/>
                      <w:kern w:val="0"/>
                      <w:sz w:val="24"/>
                    </w:rPr>
                    <w:t>計：</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一、補考及格者，授予學分，並以第一項所定及格分數計。</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二、補考不及格者，不授予學分，該科目成績就補考成績或原成績擇優登</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 xml:space="preserve">    錄。</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身心障礙學生之學業成績考查，由學校依特殊教育法第二十八條所定個別</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化教育計畫之評量方式定之。</w:t>
                  </w:r>
                </w:p>
              </w:tc>
            </w:tr>
            <w:tr w:rsidR="00DE30E2" w:rsidRPr="008718E4" w:rsidTr="00EF6E2F">
              <w:trPr>
                <w:tblCellSpacing w:w="15" w:type="dxa"/>
              </w:trPr>
              <w:tc>
                <w:tcPr>
                  <w:tcW w:w="667" w:type="pct"/>
                  <w:noWrap/>
                  <w:vAlign w:val="center"/>
                  <w:hideMark/>
                </w:tcPr>
                <w:p w:rsidR="00DE30E2" w:rsidRPr="00C95089" w:rsidRDefault="00DE30E2" w:rsidP="00EF6E2F">
                  <w:pPr>
                    <w:widowControl/>
                    <w:rPr>
                      <w:sz w:val="24"/>
                    </w:rPr>
                  </w:pPr>
                  <w:r w:rsidRPr="00C95089">
                    <w:rPr>
                      <w:rFonts w:hint="eastAsia"/>
                      <w:sz w:val="24"/>
                    </w:rPr>
                    <w:lastRenderedPageBreak/>
                    <w:t>第</w:t>
                  </w:r>
                  <w:r w:rsidRPr="00C95089">
                    <w:rPr>
                      <w:sz w:val="24"/>
                    </w:rPr>
                    <w:t xml:space="preserve"> 8 條</w:t>
                  </w:r>
                </w:p>
                <w:p w:rsidR="00DE30E2" w:rsidRPr="00C95089" w:rsidRDefault="00DE30E2" w:rsidP="00EF6E2F">
                  <w:pPr>
                    <w:widowControl/>
                    <w:rPr>
                      <w:rFonts w:cs="新細明體"/>
                      <w:kern w:val="0"/>
                      <w:sz w:val="24"/>
                    </w:rPr>
                  </w:pPr>
                </w:p>
                <w:p w:rsidR="00DE30E2" w:rsidRPr="00C95089" w:rsidRDefault="00DE30E2" w:rsidP="00EF6E2F">
                  <w:pPr>
                    <w:widowControl/>
                    <w:rPr>
                      <w:rFonts w:cs="新細明體"/>
                      <w:kern w:val="0"/>
                      <w:sz w:val="24"/>
                    </w:rPr>
                  </w:pPr>
                </w:p>
                <w:p w:rsidR="00DE30E2" w:rsidRPr="00C95089" w:rsidRDefault="00DE30E2" w:rsidP="00EF6E2F">
                  <w:pPr>
                    <w:widowControl/>
                    <w:rPr>
                      <w:rFonts w:cs="新細明體"/>
                      <w:kern w:val="0"/>
                      <w:sz w:val="24"/>
                    </w:rPr>
                  </w:pPr>
                </w:p>
                <w:p w:rsidR="00DE30E2" w:rsidRPr="00C95089" w:rsidRDefault="00DE30E2" w:rsidP="00EF6E2F">
                  <w:pPr>
                    <w:widowControl/>
                    <w:rPr>
                      <w:rFonts w:cs="新細明體"/>
                      <w:kern w:val="0"/>
                      <w:sz w:val="24"/>
                    </w:rPr>
                  </w:pPr>
                </w:p>
                <w:p w:rsidR="00DE30E2" w:rsidRPr="00C95089" w:rsidRDefault="00DE30E2" w:rsidP="00EF6E2F">
                  <w:pPr>
                    <w:widowControl/>
                    <w:rPr>
                      <w:rFonts w:cs="新細明體"/>
                      <w:kern w:val="0"/>
                      <w:sz w:val="24"/>
                    </w:rPr>
                  </w:pPr>
                </w:p>
                <w:p w:rsidR="00DE30E2" w:rsidRPr="00C95089" w:rsidRDefault="00DE30E2" w:rsidP="00EF6E2F">
                  <w:pPr>
                    <w:widowControl/>
                    <w:rPr>
                      <w:rFonts w:cs="新細明體"/>
                      <w:kern w:val="0"/>
                      <w:sz w:val="24"/>
                    </w:rPr>
                  </w:pPr>
                </w:p>
                <w:p w:rsidR="00DE30E2" w:rsidRPr="00C95089" w:rsidRDefault="00DE30E2" w:rsidP="00EF6E2F">
                  <w:pPr>
                    <w:widowControl/>
                    <w:rPr>
                      <w:rFonts w:cs="新細明體"/>
                      <w:kern w:val="0"/>
                      <w:sz w:val="24"/>
                    </w:rPr>
                  </w:pPr>
                </w:p>
                <w:p w:rsidR="00DE30E2" w:rsidRPr="00C95089" w:rsidRDefault="00DE30E2" w:rsidP="00EF6E2F">
                  <w:pPr>
                    <w:widowControl/>
                    <w:rPr>
                      <w:rFonts w:cs="新細明體"/>
                      <w:kern w:val="0"/>
                      <w:sz w:val="24"/>
                    </w:rPr>
                  </w:pPr>
                </w:p>
                <w:p w:rsidR="00DE30E2" w:rsidRPr="00C95089" w:rsidRDefault="00DE30E2" w:rsidP="00EF6E2F">
                  <w:pPr>
                    <w:widowControl/>
                    <w:rPr>
                      <w:rFonts w:cs="新細明體"/>
                      <w:kern w:val="0"/>
                      <w:sz w:val="24"/>
                    </w:rPr>
                  </w:pPr>
                </w:p>
                <w:p w:rsidR="00DE30E2" w:rsidRPr="00C95089" w:rsidRDefault="00DE30E2" w:rsidP="00EF6E2F">
                  <w:pPr>
                    <w:widowControl/>
                    <w:rPr>
                      <w:rFonts w:cs="新細明體"/>
                      <w:kern w:val="0"/>
                      <w:sz w:val="24"/>
                    </w:rPr>
                  </w:pPr>
                </w:p>
                <w:p w:rsidR="00DE30E2" w:rsidRPr="00C95089" w:rsidRDefault="00DE30E2" w:rsidP="00EF6E2F">
                  <w:pPr>
                    <w:widowControl/>
                    <w:rPr>
                      <w:rFonts w:cs="新細明體"/>
                      <w:kern w:val="0"/>
                      <w:sz w:val="24"/>
                    </w:rPr>
                  </w:pPr>
                </w:p>
                <w:p w:rsidR="00DE30E2" w:rsidRPr="00C95089" w:rsidRDefault="00DE30E2" w:rsidP="00EF6E2F">
                  <w:pPr>
                    <w:widowControl/>
                    <w:rPr>
                      <w:rFonts w:cs="新細明體"/>
                      <w:kern w:val="0"/>
                      <w:sz w:val="24"/>
                    </w:rPr>
                  </w:pPr>
                </w:p>
              </w:tc>
              <w:tc>
                <w:tcPr>
                  <w:tcW w:w="27" w:type="pct"/>
                  <w:vAlign w:val="center"/>
                  <w:hideMark/>
                </w:tcPr>
                <w:p w:rsidR="00DE30E2" w:rsidRPr="00C95089" w:rsidRDefault="00DE30E2" w:rsidP="00EF6E2F">
                  <w:pPr>
                    <w:widowControl/>
                    <w:jc w:val="center"/>
                    <w:rPr>
                      <w:rFonts w:cs="新細明體"/>
                      <w:kern w:val="0"/>
                      <w:sz w:val="24"/>
                    </w:rPr>
                  </w:pPr>
                </w:p>
              </w:tc>
              <w:tc>
                <w:tcPr>
                  <w:tcW w:w="4240" w:type="pct"/>
                  <w:vAlign w:val="center"/>
                  <w:hideMark/>
                </w:tcPr>
                <w:p w:rsidR="00DE30E2"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學期成績及格之科目，授予學分。</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學期成績不及格之科目，得申請重修；其重修方式如下：</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一、專班重修：重修學生人數達十五人以上者，由學校開設專門班級，讓</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 xml:space="preserve">    學生重新修讀，每一學分不得少於六節。</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二、自學輔導：重修學生未達前款所定人數者，由教師指定教材，供學生</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 xml:space="preserve">    自行修讀並安排面授指導，每一學分不得少於三節。</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三、</w:t>
                  </w:r>
                  <w:proofErr w:type="gramStart"/>
                  <w:r w:rsidRPr="00C95089">
                    <w:rPr>
                      <w:rFonts w:cs="細明體" w:hint="eastAsia"/>
                      <w:kern w:val="0"/>
                      <w:sz w:val="24"/>
                    </w:rPr>
                    <w:t>隨班修讀</w:t>
                  </w:r>
                  <w:proofErr w:type="gramEnd"/>
                  <w:r w:rsidRPr="00C95089">
                    <w:rPr>
                      <w:rFonts w:cs="細明體" w:hint="eastAsia"/>
                      <w:kern w:val="0"/>
                      <w:sz w:val="24"/>
                    </w:rPr>
                    <w:t>：學生得於修業期限內隨其他班級課程修讀。</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前項各款辦理方式，由各該主管教育行政機關定之。</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第一項各款重修之成績，其</w:t>
                  </w:r>
                  <w:proofErr w:type="gramStart"/>
                  <w:r w:rsidRPr="00C95089">
                    <w:rPr>
                      <w:rFonts w:cs="細明體" w:hint="eastAsia"/>
                      <w:kern w:val="0"/>
                      <w:sz w:val="24"/>
                    </w:rPr>
                    <w:t>採</w:t>
                  </w:r>
                  <w:proofErr w:type="gramEnd"/>
                  <w:r w:rsidRPr="00C95089">
                    <w:rPr>
                      <w:rFonts w:cs="細明體" w:hint="eastAsia"/>
                      <w:kern w:val="0"/>
                      <w:sz w:val="24"/>
                    </w:rPr>
                    <w:t>計方式如下</w:t>
                  </w:r>
                  <w:proofErr w:type="gramStart"/>
                  <w:r w:rsidRPr="00C95089">
                    <w:rPr>
                      <w:rFonts w:cs="細明體" w:hint="eastAsia"/>
                      <w:kern w:val="0"/>
                      <w:sz w:val="24"/>
                    </w:rPr>
                    <w:t>︰</w:t>
                  </w:r>
                  <w:proofErr w:type="gramEnd"/>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一、重修後成績及格之科目，授予學分，其成績依前條第一項各款所定及</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 xml:space="preserve">    格分數登錄。</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二、重修後成績不及格之科目，不授予學分，其成績得就重修前後成績擇</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 xml:space="preserve">    優登錄。</w:t>
                  </w:r>
                </w:p>
              </w:tc>
            </w:tr>
            <w:tr w:rsidR="00DE30E2" w:rsidRPr="008718E4" w:rsidTr="00EF6E2F">
              <w:trPr>
                <w:tblCellSpacing w:w="15" w:type="dxa"/>
              </w:trPr>
              <w:tc>
                <w:tcPr>
                  <w:tcW w:w="667" w:type="pct"/>
                  <w:noWrap/>
                  <w:vAlign w:val="center"/>
                  <w:hideMark/>
                </w:tcPr>
                <w:p w:rsidR="00DE30E2" w:rsidRPr="00C95089" w:rsidRDefault="00DE30E2" w:rsidP="00EF6E2F">
                  <w:pPr>
                    <w:widowControl/>
                    <w:rPr>
                      <w:sz w:val="24"/>
                    </w:rPr>
                  </w:pPr>
                  <w:r w:rsidRPr="00C95089">
                    <w:rPr>
                      <w:rFonts w:hint="eastAsia"/>
                      <w:sz w:val="24"/>
                    </w:rPr>
                    <w:t>第</w:t>
                  </w:r>
                  <w:r w:rsidRPr="00C95089">
                    <w:rPr>
                      <w:sz w:val="24"/>
                    </w:rPr>
                    <w:t xml:space="preserve"> 9 條</w:t>
                  </w:r>
                </w:p>
                <w:p w:rsidR="00DE30E2" w:rsidRPr="00C95089" w:rsidRDefault="00DE30E2" w:rsidP="00EF6E2F">
                  <w:pPr>
                    <w:widowControl/>
                    <w:rPr>
                      <w:rFonts w:cs="新細明體"/>
                      <w:kern w:val="0"/>
                      <w:sz w:val="24"/>
                    </w:rPr>
                  </w:pPr>
                </w:p>
                <w:p w:rsidR="00DE30E2" w:rsidRPr="00C95089" w:rsidRDefault="00DE30E2" w:rsidP="00EF6E2F">
                  <w:pPr>
                    <w:widowControl/>
                    <w:rPr>
                      <w:rFonts w:cs="新細明體"/>
                      <w:kern w:val="0"/>
                      <w:sz w:val="24"/>
                    </w:rPr>
                  </w:pPr>
                </w:p>
              </w:tc>
              <w:tc>
                <w:tcPr>
                  <w:tcW w:w="27" w:type="pct"/>
                  <w:vAlign w:val="center"/>
                  <w:hideMark/>
                </w:tcPr>
                <w:p w:rsidR="00DE30E2" w:rsidRPr="00C95089" w:rsidRDefault="00DE30E2" w:rsidP="00EF6E2F">
                  <w:pPr>
                    <w:widowControl/>
                    <w:jc w:val="center"/>
                    <w:rPr>
                      <w:rFonts w:cs="新細明體"/>
                      <w:kern w:val="0"/>
                      <w:sz w:val="24"/>
                    </w:rPr>
                  </w:pPr>
                </w:p>
              </w:tc>
              <w:tc>
                <w:tcPr>
                  <w:tcW w:w="4240" w:type="pct"/>
                  <w:vAlign w:val="center"/>
                  <w:hideMark/>
                </w:tcPr>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學生學業成績於定期考查時，因故不能參加全部科目或部分科目之考試，</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經學校核准</w:t>
                  </w:r>
                  <w:proofErr w:type="gramStart"/>
                  <w:r w:rsidRPr="00C95089">
                    <w:rPr>
                      <w:rFonts w:cs="細明體" w:hint="eastAsia"/>
                      <w:kern w:val="0"/>
                      <w:sz w:val="24"/>
                    </w:rPr>
                    <w:t>給假者</w:t>
                  </w:r>
                  <w:proofErr w:type="gramEnd"/>
                  <w:r w:rsidRPr="00C95089">
                    <w:rPr>
                      <w:rFonts w:cs="細明體" w:hint="eastAsia"/>
                      <w:kern w:val="0"/>
                      <w:sz w:val="24"/>
                    </w:rPr>
                    <w:t>，准予補行考試或</w:t>
                  </w:r>
                  <w:proofErr w:type="gramStart"/>
                  <w:r w:rsidRPr="00C95089">
                    <w:rPr>
                      <w:rFonts w:cs="細明體" w:hint="eastAsia"/>
                      <w:kern w:val="0"/>
                      <w:sz w:val="24"/>
                    </w:rPr>
                    <w:t>採</w:t>
                  </w:r>
                  <w:proofErr w:type="gramEnd"/>
                  <w:r w:rsidRPr="00C95089">
                    <w:rPr>
                      <w:rFonts w:cs="細明體" w:hint="eastAsia"/>
                      <w:kern w:val="0"/>
                      <w:sz w:val="24"/>
                    </w:rPr>
                    <w:t>其他方式考查之；其成績考查方式</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及計算，由各</w:t>
                  </w:r>
                  <w:proofErr w:type="gramStart"/>
                  <w:r w:rsidRPr="00C95089">
                    <w:rPr>
                      <w:rFonts w:cs="細明體" w:hint="eastAsia"/>
                      <w:kern w:val="0"/>
                      <w:sz w:val="24"/>
                    </w:rPr>
                    <w:t>校定</w:t>
                  </w:r>
                  <w:proofErr w:type="gramEnd"/>
                  <w:r w:rsidRPr="00C95089">
                    <w:rPr>
                      <w:rFonts w:cs="細明體" w:hint="eastAsia"/>
                      <w:kern w:val="0"/>
                      <w:sz w:val="24"/>
                    </w:rPr>
                    <w:t>之。</w:t>
                  </w:r>
                </w:p>
              </w:tc>
            </w:tr>
            <w:tr w:rsidR="00DE30E2" w:rsidRPr="008718E4" w:rsidTr="00EF6E2F">
              <w:trPr>
                <w:tblCellSpacing w:w="15" w:type="dxa"/>
              </w:trPr>
              <w:tc>
                <w:tcPr>
                  <w:tcW w:w="667" w:type="pct"/>
                  <w:noWrap/>
                  <w:vAlign w:val="center"/>
                  <w:hideMark/>
                </w:tcPr>
                <w:p w:rsidR="00DE30E2" w:rsidRPr="00C95089" w:rsidRDefault="00DE30E2" w:rsidP="00EF6E2F">
                  <w:pPr>
                    <w:widowControl/>
                    <w:rPr>
                      <w:sz w:val="24"/>
                    </w:rPr>
                  </w:pPr>
                  <w:hyperlink r:id="rId11" w:history="1">
                    <w:r w:rsidRPr="00C95089">
                      <w:rPr>
                        <w:sz w:val="24"/>
                      </w:rPr>
                      <w:t>第 10 條</w:t>
                    </w:r>
                  </w:hyperlink>
                </w:p>
                <w:p w:rsidR="00DE30E2" w:rsidRPr="00C95089" w:rsidRDefault="00DE30E2" w:rsidP="00EF6E2F">
                  <w:pPr>
                    <w:widowControl/>
                    <w:rPr>
                      <w:rFonts w:cs="新細明體"/>
                      <w:kern w:val="0"/>
                      <w:sz w:val="24"/>
                    </w:rPr>
                  </w:pPr>
                </w:p>
                <w:p w:rsidR="00DE30E2" w:rsidRPr="00C95089" w:rsidRDefault="00DE30E2" w:rsidP="00EF6E2F">
                  <w:pPr>
                    <w:widowControl/>
                    <w:rPr>
                      <w:rFonts w:cs="新細明體"/>
                      <w:kern w:val="0"/>
                      <w:sz w:val="24"/>
                    </w:rPr>
                  </w:pPr>
                  <w:r w:rsidRPr="00C95089">
                    <w:rPr>
                      <w:rFonts w:cs="新細明體"/>
                      <w:kern w:val="0"/>
                      <w:sz w:val="24"/>
                    </w:rPr>
                    <w:t xml:space="preserve"> </w:t>
                  </w:r>
                </w:p>
              </w:tc>
              <w:tc>
                <w:tcPr>
                  <w:tcW w:w="27" w:type="pct"/>
                  <w:vAlign w:val="center"/>
                </w:tcPr>
                <w:p w:rsidR="00DE30E2" w:rsidRPr="00C95089" w:rsidRDefault="00DE30E2" w:rsidP="00EF6E2F">
                  <w:pPr>
                    <w:widowControl/>
                    <w:jc w:val="center"/>
                    <w:rPr>
                      <w:rFonts w:cs="新細明體"/>
                      <w:kern w:val="0"/>
                      <w:sz w:val="24"/>
                    </w:rPr>
                  </w:pPr>
                </w:p>
              </w:tc>
              <w:tc>
                <w:tcPr>
                  <w:tcW w:w="4240" w:type="pct"/>
                  <w:vAlign w:val="center"/>
                  <w:hideMark/>
                </w:tcPr>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學生各學期學業成績不及格科目之學分數，達該學期</w:t>
                  </w:r>
                  <w:proofErr w:type="gramStart"/>
                  <w:r w:rsidRPr="00C95089">
                    <w:rPr>
                      <w:rFonts w:cs="細明體" w:hint="eastAsia"/>
                      <w:kern w:val="0"/>
                      <w:sz w:val="24"/>
                    </w:rPr>
                    <w:t>修習總學分</w:t>
                  </w:r>
                  <w:proofErr w:type="gramEnd"/>
                  <w:r w:rsidRPr="00C95089">
                    <w:rPr>
                      <w:rFonts w:cs="細明體" w:hint="eastAsia"/>
                      <w:kern w:val="0"/>
                      <w:sz w:val="24"/>
                    </w:rPr>
                    <w:t>數二分之</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proofErr w:type="gramStart"/>
                  <w:r w:rsidRPr="00C95089">
                    <w:rPr>
                      <w:rFonts w:cs="細明體" w:hint="eastAsia"/>
                      <w:kern w:val="0"/>
                      <w:sz w:val="24"/>
                    </w:rPr>
                    <w:t>一</w:t>
                  </w:r>
                  <w:proofErr w:type="gramEnd"/>
                  <w:r w:rsidRPr="00C95089">
                    <w:rPr>
                      <w:rFonts w:cs="細明體" w:hint="eastAsia"/>
                      <w:kern w:val="0"/>
                      <w:sz w:val="24"/>
                    </w:rPr>
                    <w:t>者，次一學期得由學校輔導</w:t>
                  </w:r>
                  <w:proofErr w:type="gramStart"/>
                  <w:r w:rsidRPr="00C95089">
                    <w:rPr>
                      <w:rFonts w:cs="細明體" w:hint="eastAsia"/>
                      <w:kern w:val="0"/>
                      <w:sz w:val="24"/>
                    </w:rPr>
                    <w:t>其減修或</w:t>
                  </w:r>
                  <w:proofErr w:type="gramEnd"/>
                  <w:r w:rsidRPr="00C95089">
                    <w:rPr>
                      <w:rFonts w:cs="細明體" w:hint="eastAsia"/>
                      <w:kern w:val="0"/>
                      <w:sz w:val="24"/>
                    </w:rPr>
                    <w:t>補修學分；</w:t>
                  </w:r>
                  <w:proofErr w:type="gramStart"/>
                  <w:r w:rsidRPr="00C95089">
                    <w:rPr>
                      <w:rFonts w:cs="細明體" w:hint="eastAsia"/>
                      <w:kern w:val="0"/>
                      <w:sz w:val="24"/>
                    </w:rPr>
                    <w:t>其減修</w:t>
                  </w:r>
                  <w:proofErr w:type="gramEnd"/>
                  <w:r w:rsidRPr="00C95089">
                    <w:rPr>
                      <w:rFonts w:cs="細明體" w:hint="eastAsia"/>
                      <w:kern w:val="0"/>
                      <w:sz w:val="24"/>
                    </w:rPr>
                    <w:t>、補修之相關</w:t>
                  </w:r>
                  <w:proofErr w:type="gramStart"/>
                  <w:r w:rsidRPr="00C95089">
                    <w:rPr>
                      <w:rFonts w:cs="細明體" w:hint="eastAsia"/>
                      <w:kern w:val="0"/>
                      <w:sz w:val="24"/>
                    </w:rPr>
                    <w:t>規</w:t>
                  </w:r>
                  <w:proofErr w:type="gramEnd"/>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定，由各</w:t>
                  </w:r>
                  <w:proofErr w:type="gramStart"/>
                  <w:r w:rsidRPr="00C95089">
                    <w:rPr>
                      <w:rFonts w:cs="細明體" w:hint="eastAsia"/>
                      <w:kern w:val="0"/>
                      <w:sz w:val="24"/>
                    </w:rPr>
                    <w:t>校定</w:t>
                  </w:r>
                  <w:proofErr w:type="gramEnd"/>
                  <w:r w:rsidRPr="00C95089">
                    <w:rPr>
                      <w:rFonts w:cs="細明體" w:hint="eastAsia"/>
                      <w:kern w:val="0"/>
                      <w:sz w:val="24"/>
                    </w:rPr>
                    <w:t>之。</w:t>
                  </w:r>
                </w:p>
              </w:tc>
            </w:tr>
            <w:tr w:rsidR="00DE30E2" w:rsidRPr="008718E4" w:rsidTr="00EF6E2F">
              <w:trPr>
                <w:tblCellSpacing w:w="15" w:type="dxa"/>
              </w:trPr>
              <w:tc>
                <w:tcPr>
                  <w:tcW w:w="667" w:type="pct"/>
                  <w:noWrap/>
                  <w:vAlign w:val="center"/>
                  <w:hideMark/>
                </w:tcPr>
                <w:p w:rsidR="00DE30E2" w:rsidRPr="00C95089" w:rsidRDefault="00DE30E2" w:rsidP="00EF6E2F">
                  <w:pPr>
                    <w:widowControl/>
                    <w:rPr>
                      <w:sz w:val="24"/>
                    </w:rPr>
                  </w:pPr>
                  <w:r w:rsidRPr="00C95089">
                    <w:rPr>
                      <w:rFonts w:hint="eastAsia"/>
                      <w:sz w:val="24"/>
                    </w:rPr>
                    <w:t>第</w:t>
                  </w:r>
                  <w:r w:rsidRPr="00C95089">
                    <w:rPr>
                      <w:sz w:val="24"/>
                    </w:rPr>
                    <w:t xml:space="preserve"> 11 條</w:t>
                  </w:r>
                </w:p>
                <w:p w:rsidR="00DE30E2" w:rsidRPr="00C95089" w:rsidRDefault="00DE30E2" w:rsidP="00EF6E2F">
                  <w:pPr>
                    <w:widowControl/>
                    <w:rPr>
                      <w:rFonts w:cs="新細明體"/>
                      <w:color w:val="0000FF"/>
                      <w:kern w:val="0"/>
                      <w:sz w:val="24"/>
                      <w:u w:val="single"/>
                    </w:rPr>
                  </w:pPr>
                </w:p>
                <w:p w:rsidR="00DE30E2" w:rsidRPr="00C95089" w:rsidRDefault="00DE30E2" w:rsidP="00EF6E2F">
                  <w:pPr>
                    <w:widowControl/>
                    <w:rPr>
                      <w:rFonts w:cs="新細明體"/>
                      <w:color w:val="0000FF"/>
                      <w:kern w:val="0"/>
                      <w:sz w:val="24"/>
                      <w:u w:val="single"/>
                    </w:rPr>
                  </w:pPr>
                </w:p>
                <w:p w:rsidR="00DE30E2" w:rsidRPr="00C95089" w:rsidRDefault="00DE30E2" w:rsidP="00EF6E2F">
                  <w:pPr>
                    <w:widowControl/>
                    <w:rPr>
                      <w:rFonts w:cs="新細明體"/>
                      <w:kern w:val="0"/>
                      <w:sz w:val="24"/>
                    </w:rPr>
                  </w:pPr>
                </w:p>
              </w:tc>
              <w:tc>
                <w:tcPr>
                  <w:tcW w:w="27" w:type="pct"/>
                  <w:vAlign w:val="center"/>
                  <w:hideMark/>
                </w:tcPr>
                <w:p w:rsidR="00DE30E2" w:rsidRPr="00C95089" w:rsidRDefault="00DE30E2" w:rsidP="00EF6E2F">
                  <w:pPr>
                    <w:widowControl/>
                    <w:jc w:val="center"/>
                    <w:rPr>
                      <w:rFonts w:cs="新細明體"/>
                      <w:kern w:val="0"/>
                      <w:sz w:val="24"/>
                    </w:rPr>
                  </w:pPr>
                </w:p>
              </w:tc>
              <w:tc>
                <w:tcPr>
                  <w:tcW w:w="4240" w:type="pct"/>
                  <w:vAlign w:val="center"/>
                  <w:hideMark/>
                </w:tcPr>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學生學年成績不及格科目學分數，</w:t>
                  </w:r>
                  <w:proofErr w:type="gramStart"/>
                  <w:r w:rsidRPr="00C95089">
                    <w:rPr>
                      <w:rFonts w:cs="細明體" w:hint="eastAsia"/>
                      <w:kern w:val="0"/>
                      <w:sz w:val="24"/>
                    </w:rPr>
                    <w:t>逾當學年</w:t>
                  </w:r>
                  <w:proofErr w:type="gramEnd"/>
                  <w:r w:rsidRPr="00C95089">
                    <w:rPr>
                      <w:rFonts w:cs="細明體" w:hint="eastAsia"/>
                      <w:kern w:val="0"/>
                      <w:sz w:val="24"/>
                    </w:rPr>
                    <w:t>學分數二分之一者，應重讀；</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其成績以重讀之分數</w:t>
                  </w:r>
                  <w:proofErr w:type="gramStart"/>
                  <w:r w:rsidRPr="00C95089">
                    <w:rPr>
                      <w:rFonts w:cs="細明體" w:hint="eastAsia"/>
                      <w:kern w:val="0"/>
                      <w:sz w:val="24"/>
                    </w:rPr>
                    <w:t>採</w:t>
                  </w:r>
                  <w:proofErr w:type="gramEnd"/>
                  <w:r w:rsidRPr="00C95089">
                    <w:rPr>
                      <w:rFonts w:cs="細明體" w:hint="eastAsia"/>
                      <w:kern w:val="0"/>
                      <w:sz w:val="24"/>
                    </w:rPr>
                    <w:t>計。</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前項學年成績不及格科目學分數之計算，應包括下列學分數：</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一、補考後不及格科目之學分數。</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二、未達補考標準之不及格科目學分數。</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重讀時，學生對於已修習及格之科目申請免修者，學校應准予免修，該科</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proofErr w:type="gramStart"/>
                  <w:r w:rsidRPr="00C95089">
                    <w:rPr>
                      <w:rFonts w:cs="細明體" w:hint="eastAsia"/>
                      <w:kern w:val="0"/>
                      <w:sz w:val="24"/>
                    </w:rPr>
                    <w:t>目原成績</w:t>
                  </w:r>
                  <w:proofErr w:type="gramEnd"/>
                  <w:r w:rsidRPr="00C95089">
                    <w:rPr>
                      <w:rFonts w:cs="細明體" w:hint="eastAsia"/>
                      <w:kern w:val="0"/>
                      <w:sz w:val="24"/>
                    </w:rPr>
                    <w:t>列入重讀學期之成績一併計算。</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學生於重讀時，對於已修習及格之科目，自願申請再次選讀者，該科目成</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績，就再次選讀之成績或原成績擇優登錄，不受第一項規定之限制。</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對於重讀之學生，學校應給予適當之輔導。</w:t>
                  </w:r>
                </w:p>
              </w:tc>
            </w:tr>
            <w:tr w:rsidR="00DE30E2" w:rsidRPr="008718E4" w:rsidTr="00EF6E2F">
              <w:trPr>
                <w:tblCellSpacing w:w="15" w:type="dxa"/>
              </w:trPr>
              <w:tc>
                <w:tcPr>
                  <w:tcW w:w="667" w:type="pct"/>
                  <w:noWrap/>
                  <w:vAlign w:val="center"/>
                  <w:hideMark/>
                </w:tcPr>
                <w:p w:rsidR="00DE30E2" w:rsidRDefault="00DE30E2" w:rsidP="00EF6E2F">
                  <w:pPr>
                    <w:widowControl/>
                    <w:rPr>
                      <w:sz w:val="24"/>
                    </w:rPr>
                  </w:pPr>
                  <w:hyperlink r:id="rId12" w:history="1">
                    <w:r w:rsidRPr="00C95089">
                      <w:rPr>
                        <w:sz w:val="24"/>
                      </w:rPr>
                      <w:t>第 12 條</w:t>
                    </w:r>
                  </w:hyperlink>
                </w:p>
                <w:p w:rsidR="00DE30E2" w:rsidRPr="00C95089" w:rsidRDefault="00DE30E2" w:rsidP="00EF6E2F">
                  <w:pPr>
                    <w:widowControl/>
                    <w:rPr>
                      <w:sz w:val="24"/>
                    </w:rPr>
                  </w:pPr>
                </w:p>
                <w:p w:rsidR="00DE30E2" w:rsidRPr="00C95089" w:rsidRDefault="00DE30E2" w:rsidP="00EF6E2F">
                  <w:pPr>
                    <w:widowControl/>
                    <w:rPr>
                      <w:rFonts w:cs="新細明體"/>
                      <w:kern w:val="0"/>
                      <w:sz w:val="24"/>
                    </w:rPr>
                  </w:pPr>
                </w:p>
                <w:p w:rsidR="00DE30E2" w:rsidRPr="00C95089" w:rsidRDefault="00DE30E2" w:rsidP="00EF6E2F">
                  <w:pPr>
                    <w:widowControl/>
                    <w:rPr>
                      <w:rFonts w:cs="新細明體"/>
                      <w:kern w:val="0"/>
                      <w:sz w:val="24"/>
                    </w:rPr>
                  </w:pPr>
                </w:p>
                <w:p w:rsidR="00DE30E2" w:rsidRPr="00C95089" w:rsidRDefault="00DE30E2" w:rsidP="00EF6E2F">
                  <w:pPr>
                    <w:widowControl/>
                    <w:rPr>
                      <w:rFonts w:cs="新細明體"/>
                      <w:kern w:val="0"/>
                      <w:sz w:val="24"/>
                    </w:rPr>
                  </w:pPr>
                </w:p>
                <w:p w:rsidR="00DE30E2" w:rsidRPr="00C95089" w:rsidRDefault="00DE30E2" w:rsidP="00EF6E2F">
                  <w:pPr>
                    <w:widowControl/>
                    <w:rPr>
                      <w:rFonts w:cs="新細明體"/>
                      <w:kern w:val="0"/>
                      <w:sz w:val="24"/>
                    </w:rPr>
                  </w:pPr>
                </w:p>
                <w:p w:rsidR="00DE30E2" w:rsidRPr="00C95089" w:rsidRDefault="00DE30E2" w:rsidP="00EF6E2F">
                  <w:pPr>
                    <w:widowControl/>
                    <w:rPr>
                      <w:rFonts w:cs="新細明體"/>
                      <w:kern w:val="0"/>
                      <w:sz w:val="24"/>
                    </w:rPr>
                  </w:pPr>
                </w:p>
                <w:p w:rsidR="00DE30E2" w:rsidRPr="00C95089" w:rsidRDefault="00DE30E2" w:rsidP="00EF6E2F">
                  <w:pPr>
                    <w:widowControl/>
                    <w:rPr>
                      <w:rFonts w:cs="新細明體"/>
                      <w:kern w:val="0"/>
                      <w:sz w:val="24"/>
                    </w:rPr>
                  </w:pPr>
                </w:p>
                <w:p w:rsidR="00DE30E2" w:rsidRPr="00C95089" w:rsidRDefault="00DE30E2" w:rsidP="00EF6E2F">
                  <w:pPr>
                    <w:widowControl/>
                    <w:rPr>
                      <w:rFonts w:cs="新細明體"/>
                      <w:kern w:val="0"/>
                      <w:sz w:val="24"/>
                    </w:rPr>
                  </w:pPr>
                  <w:r w:rsidRPr="00C95089">
                    <w:rPr>
                      <w:rFonts w:cs="新細明體"/>
                      <w:kern w:val="0"/>
                      <w:sz w:val="24"/>
                    </w:rPr>
                    <w:t xml:space="preserve"> </w:t>
                  </w:r>
                </w:p>
              </w:tc>
              <w:tc>
                <w:tcPr>
                  <w:tcW w:w="27" w:type="pct"/>
                  <w:vAlign w:val="center"/>
                  <w:hideMark/>
                </w:tcPr>
                <w:p w:rsidR="00DE30E2" w:rsidRPr="00C95089" w:rsidRDefault="00DE30E2" w:rsidP="00EF6E2F">
                  <w:pPr>
                    <w:widowControl/>
                    <w:jc w:val="center"/>
                    <w:rPr>
                      <w:rFonts w:cs="新細明體"/>
                      <w:kern w:val="0"/>
                      <w:sz w:val="24"/>
                    </w:rPr>
                  </w:pPr>
                </w:p>
              </w:tc>
              <w:tc>
                <w:tcPr>
                  <w:tcW w:w="4240" w:type="pct"/>
                  <w:vAlign w:val="center"/>
                  <w:hideMark/>
                </w:tcPr>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新生與轉學生入學前、轉</w:t>
                  </w:r>
                  <w:proofErr w:type="gramStart"/>
                  <w:r w:rsidRPr="00C95089">
                    <w:rPr>
                      <w:rFonts w:cs="細明體" w:hint="eastAsia"/>
                      <w:kern w:val="0"/>
                      <w:sz w:val="24"/>
                    </w:rPr>
                    <w:t>科生轉</w:t>
                  </w:r>
                  <w:proofErr w:type="gramEnd"/>
                  <w:r w:rsidRPr="00C95089">
                    <w:rPr>
                      <w:rFonts w:cs="細明體" w:hint="eastAsia"/>
                      <w:kern w:val="0"/>
                      <w:sz w:val="24"/>
                    </w:rPr>
                    <w:t>科前及休學生復學前，已修習及格之科目</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及學分，經審查符合課程要求，或經甄試及格者，</w:t>
                  </w:r>
                  <w:proofErr w:type="gramStart"/>
                  <w:r w:rsidRPr="00C95089">
                    <w:rPr>
                      <w:rFonts w:cs="細明體" w:hint="eastAsia"/>
                      <w:kern w:val="0"/>
                      <w:sz w:val="24"/>
                    </w:rPr>
                    <w:t>得列抵免</w:t>
                  </w:r>
                  <w:proofErr w:type="gramEnd"/>
                  <w:r w:rsidRPr="00C95089">
                    <w:rPr>
                      <w:rFonts w:cs="細明體" w:hint="eastAsia"/>
                      <w:kern w:val="0"/>
                      <w:sz w:val="24"/>
                    </w:rPr>
                    <w:t>修；其審查、</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甄試及學分抵免規定，由各</w:t>
                  </w:r>
                  <w:proofErr w:type="gramStart"/>
                  <w:r w:rsidRPr="00C95089">
                    <w:rPr>
                      <w:rFonts w:cs="細明體" w:hint="eastAsia"/>
                      <w:kern w:val="0"/>
                      <w:sz w:val="24"/>
                    </w:rPr>
                    <w:t>校定</w:t>
                  </w:r>
                  <w:proofErr w:type="gramEnd"/>
                  <w:r w:rsidRPr="00C95089">
                    <w:rPr>
                      <w:rFonts w:cs="細明體" w:hint="eastAsia"/>
                      <w:kern w:val="0"/>
                      <w:sz w:val="24"/>
                    </w:rPr>
                    <w:t>之。</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學生不及格或未修習之科目學分，得申請重修或補修；其重修或補修之辦</w:t>
                  </w:r>
                </w:p>
                <w:p w:rsidR="00DE30E2"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理方式，</w:t>
                  </w:r>
                  <w:proofErr w:type="gramStart"/>
                  <w:r w:rsidRPr="00C95089">
                    <w:rPr>
                      <w:rFonts w:cs="細明體" w:hint="eastAsia"/>
                      <w:kern w:val="0"/>
                      <w:sz w:val="24"/>
                    </w:rPr>
                    <w:t>準</w:t>
                  </w:r>
                  <w:proofErr w:type="gramEnd"/>
                  <w:r w:rsidRPr="00C95089">
                    <w:rPr>
                      <w:rFonts w:cs="細明體" w:hint="eastAsia"/>
                      <w:kern w:val="0"/>
                      <w:sz w:val="24"/>
                    </w:rPr>
                    <w:t>用第八條規定。</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但未修習之科目學分，屬</w:t>
                  </w:r>
                  <w:proofErr w:type="gramStart"/>
                  <w:r w:rsidRPr="00C95089">
                    <w:rPr>
                      <w:rFonts w:cs="細明體" w:hint="eastAsia"/>
                      <w:kern w:val="0"/>
                      <w:sz w:val="24"/>
                    </w:rPr>
                    <w:t>教育部部定必修</w:t>
                  </w:r>
                  <w:proofErr w:type="gramEnd"/>
                  <w:r w:rsidRPr="00C95089">
                    <w:rPr>
                      <w:rFonts w:cs="細明體" w:hint="eastAsia"/>
                      <w:kern w:val="0"/>
                      <w:sz w:val="24"/>
                    </w:rPr>
                    <w:t>者，</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proofErr w:type="gramStart"/>
                  <w:r w:rsidRPr="00C95089">
                    <w:rPr>
                      <w:rFonts w:cs="細明體" w:hint="eastAsia"/>
                      <w:kern w:val="0"/>
                      <w:sz w:val="24"/>
                    </w:rPr>
                    <w:lastRenderedPageBreak/>
                    <w:t>均應補修</w:t>
                  </w:r>
                  <w:proofErr w:type="gramEnd"/>
                  <w:r w:rsidRPr="00C95089">
                    <w:rPr>
                      <w:rFonts w:cs="細明體" w:hint="eastAsia"/>
                      <w:kern w:val="0"/>
                      <w:sz w:val="24"/>
                    </w:rPr>
                    <w:t>。</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轉學生、</w:t>
                  </w:r>
                  <w:proofErr w:type="gramStart"/>
                  <w:r w:rsidRPr="00C95089">
                    <w:rPr>
                      <w:rFonts w:cs="細明體" w:hint="eastAsia"/>
                      <w:kern w:val="0"/>
                      <w:sz w:val="24"/>
                    </w:rPr>
                    <w:t>轉科生有</w:t>
                  </w:r>
                  <w:proofErr w:type="gramEnd"/>
                  <w:r w:rsidRPr="00C95089">
                    <w:rPr>
                      <w:rFonts w:cs="細明體" w:hint="eastAsia"/>
                      <w:kern w:val="0"/>
                      <w:sz w:val="24"/>
                    </w:rPr>
                    <w:t>前條第一項規定之情事者，學校應視該學生學習狀況，</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編入適當</w:t>
                  </w:r>
                  <w:proofErr w:type="gramStart"/>
                  <w:r w:rsidRPr="00C95089">
                    <w:rPr>
                      <w:rFonts w:cs="細明體" w:hint="eastAsia"/>
                      <w:kern w:val="0"/>
                      <w:sz w:val="24"/>
                    </w:rPr>
                    <w:t>之年級</w:t>
                  </w:r>
                  <w:proofErr w:type="gramEnd"/>
                  <w:r w:rsidRPr="00C95089">
                    <w:rPr>
                      <w:rFonts w:cs="細明體" w:hint="eastAsia"/>
                      <w:kern w:val="0"/>
                      <w:sz w:val="24"/>
                    </w:rPr>
                    <w:t>就讀。</w:t>
                  </w:r>
                </w:p>
              </w:tc>
            </w:tr>
            <w:tr w:rsidR="00DE30E2" w:rsidRPr="008718E4" w:rsidTr="00EF6E2F">
              <w:trPr>
                <w:tblCellSpacing w:w="15" w:type="dxa"/>
              </w:trPr>
              <w:tc>
                <w:tcPr>
                  <w:tcW w:w="667" w:type="pct"/>
                  <w:noWrap/>
                  <w:vAlign w:val="center"/>
                  <w:hideMark/>
                </w:tcPr>
                <w:p w:rsidR="00DE30E2" w:rsidRPr="00C95089" w:rsidRDefault="00DE30E2" w:rsidP="00EF6E2F">
                  <w:pPr>
                    <w:widowControl/>
                    <w:rPr>
                      <w:sz w:val="24"/>
                    </w:rPr>
                  </w:pPr>
                  <w:hyperlink r:id="rId13" w:history="1">
                    <w:r w:rsidRPr="00C95089">
                      <w:rPr>
                        <w:sz w:val="24"/>
                      </w:rPr>
                      <w:t>第 13 條</w:t>
                    </w:r>
                  </w:hyperlink>
                  <w:r w:rsidRPr="00C95089">
                    <w:rPr>
                      <w:sz w:val="24"/>
                    </w:rPr>
                    <w:t xml:space="preserve"> </w:t>
                  </w:r>
                </w:p>
                <w:p w:rsidR="00DE30E2" w:rsidRPr="00C95089" w:rsidRDefault="00DE30E2" w:rsidP="00EF6E2F">
                  <w:pPr>
                    <w:widowControl/>
                    <w:rPr>
                      <w:rFonts w:cs="新細明體"/>
                      <w:kern w:val="0"/>
                      <w:sz w:val="24"/>
                    </w:rPr>
                  </w:pPr>
                </w:p>
                <w:p w:rsidR="00DE30E2" w:rsidRPr="00C95089" w:rsidRDefault="00DE30E2" w:rsidP="00EF6E2F">
                  <w:pPr>
                    <w:widowControl/>
                    <w:rPr>
                      <w:rFonts w:cs="新細明體"/>
                      <w:kern w:val="0"/>
                      <w:sz w:val="24"/>
                    </w:rPr>
                  </w:pPr>
                </w:p>
              </w:tc>
              <w:tc>
                <w:tcPr>
                  <w:tcW w:w="27" w:type="pct"/>
                  <w:vAlign w:val="center"/>
                  <w:hideMark/>
                </w:tcPr>
                <w:p w:rsidR="00DE30E2" w:rsidRPr="00C95089" w:rsidRDefault="00DE30E2" w:rsidP="00EF6E2F">
                  <w:pPr>
                    <w:widowControl/>
                    <w:jc w:val="center"/>
                    <w:rPr>
                      <w:rFonts w:cs="新細明體"/>
                      <w:kern w:val="0"/>
                      <w:sz w:val="24"/>
                    </w:rPr>
                  </w:pPr>
                </w:p>
              </w:tc>
              <w:tc>
                <w:tcPr>
                  <w:tcW w:w="4240" w:type="pct"/>
                  <w:vAlign w:val="center"/>
                  <w:hideMark/>
                </w:tcPr>
                <w:p w:rsidR="00DE30E2"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學校對於資賦優異學生，得由學校辦理學科免修鑑定。</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經鑑定合格者，得免修該學科該學期或學年有關之課程或科目，並授予學分，其學科成績以鑑定之分數登錄之；其學科鑑定規定，由各</w:t>
                  </w:r>
                  <w:proofErr w:type="gramStart"/>
                  <w:r w:rsidRPr="00C95089">
                    <w:rPr>
                      <w:rFonts w:cs="細明體" w:hint="eastAsia"/>
                      <w:kern w:val="0"/>
                      <w:sz w:val="24"/>
                    </w:rPr>
                    <w:t>校定</w:t>
                  </w:r>
                  <w:proofErr w:type="gramEnd"/>
                  <w:r w:rsidRPr="00C95089">
                    <w:rPr>
                      <w:rFonts w:cs="細明體" w:hint="eastAsia"/>
                      <w:kern w:val="0"/>
                      <w:sz w:val="24"/>
                    </w:rPr>
                    <w:t>之。</w:t>
                  </w:r>
                </w:p>
              </w:tc>
            </w:tr>
            <w:tr w:rsidR="00DE30E2" w:rsidRPr="008718E4" w:rsidTr="00EF6E2F">
              <w:trPr>
                <w:tblCellSpacing w:w="15" w:type="dxa"/>
              </w:trPr>
              <w:tc>
                <w:tcPr>
                  <w:tcW w:w="667" w:type="pct"/>
                  <w:noWrap/>
                  <w:vAlign w:val="center"/>
                  <w:hideMark/>
                </w:tcPr>
                <w:p w:rsidR="00DE30E2" w:rsidRPr="00C95089" w:rsidRDefault="00DE30E2" w:rsidP="00EF6E2F">
                  <w:pPr>
                    <w:widowControl/>
                    <w:rPr>
                      <w:sz w:val="24"/>
                    </w:rPr>
                  </w:pPr>
                  <w:hyperlink r:id="rId14" w:history="1">
                    <w:r w:rsidRPr="00C95089">
                      <w:rPr>
                        <w:sz w:val="24"/>
                      </w:rPr>
                      <w:t>第 13-1 條</w:t>
                    </w:r>
                  </w:hyperlink>
                </w:p>
                <w:p w:rsidR="00DE30E2" w:rsidRPr="00C95089" w:rsidRDefault="00DE30E2" w:rsidP="00EF6E2F">
                  <w:pPr>
                    <w:widowControl/>
                    <w:rPr>
                      <w:rFonts w:cs="新細明體"/>
                      <w:kern w:val="0"/>
                      <w:sz w:val="24"/>
                    </w:rPr>
                  </w:pPr>
                  <w:r w:rsidRPr="00C95089">
                    <w:rPr>
                      <w:rFonts w:cs="新細明體"/>
                      <w:kern w:val="0"/>
                      <w:sz w:val="24"/>
                    </w:rPr>
                    <w:t xml:space="preserve"> </w:t>
                  </w:r>
                </w:p>
              </w:tc>
              <w:tc>
                <w:tcPr>
                  <w:tcW w:w="27" w:type="pct"/>
                  <w:vAlign w:val="center"/>
                  <w:hideMark/>
                </w:tcPr>
                <w:p w:rsidR="00DE30E2" w:rsidRPr="00C95089" w:rsidRDefault="00DE30E2" w:rsidP="00EF6E2F">
                  <w:pPr>
                    <w:widowControl/>
                    <w:jc w:val="center"/>
                    <w:rPr>
                      <w:rFonts w:cs="新細明體"/>
                      <w:kern w:val="0"/>
                      <w:sz w:val="24"/>
                    </w:rPr>
                  </w:pPr>
                </w:p>
              </w:tc>
              <w:tc>
                <w:tcPr>
                  <w:tcW w:w="4240" w:type="pct"/>
                  <w:vAlign w:val="center"/>
                  <w:hideMark/>
                </w:tcPr>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學校應依學業成績考查結果進行分析，作為實施差異化及補救教學之依據</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，並輔導學生適性學習，發揮學生潛能。</w:t>
                  </w:r>
                </w:p>
              </w:tc>
            </w:tr>
            <w:tr w:rsidR="00DE30E2" w:rsidRPr="008718E4" w:rsidTr="00EF6E2F">
              <w:trPr>
                <w:tblCellSpacing w:w="15" w:type="dxa"/>
              </w:trPr>
              <w:tc>
                <w:tcPr>
                  <w:tcW w:w="667" w:type="pct"/>
                  <w:noWrap/>
                  <w:vAlign w:val="center"/>
                  <w:hideMark/>
                </w:tcPr>
                <w:p w:rsidR="00DE30E2" w:rsidRPr="00C95089" w:rsidRDefault="00DE30E2" w:rsidP="00EF6E2F">
                  <w:pPr>
                    <w:widowControl/>
                    <w:rPr>
                      <w:rFonts w:cs="新細明體"/>
                      <w:kern w:val="0"/>
                      <w:sz w:val="24"/>
                    </w:rPr>
                  </w:pPr>
                  <w:hyperlink r:id="rId15" w:history="1">
                    <w:r w:rsidRPr="00C95089">
                      <w:rPr>
                        <w:sz w:val="24"/>
                      </w:rPr>
                      <w:t>第 14 條</w:t>
                    </w:r>
                  </w:hyperlink>
                  <w:r w:rsidRPr="00C95089">
                    <w:rPr>
                      <w:rFonts w:cs="新細明體"/>
                      <w:kern w:val="0"/>
                      <w:sz w:val="24"/>
                    </w:rPr>
                    <w:t xml:space="preserve"> </w:t>
                  </w:r>
                </w:p>
                <w:p w:rsidR="00DE30E2" w:rsidRPr="00C95089" w:rsidRDefault="00DE30E2" w:rsidP="00EF6E2F">
                  <w:pPr>
                    <w:widowControl/>
                    <w:rPr>
                      <w:rFonts w:cs="新細明體"/>
                      <w:kern w:val="0"/>
                      <w:sz w:val="24"/>
                    </w:rPr>
                  </w:pPr>
                </w:p>
              </w:tc>
              <w:tc>
                <w:tcPr>
                  <w:tcW w:w="27" w:type="pct"/>
                  <w:vAlign w:val="center"/>
                  <w:hideMark/>
                </w:tcPr>
                <w:p w:rsidR="00DE30E2" w:rsidRPr="00C95089" w:rsidRDefault="00DE30E2" w:rsidP="00EF6E2F">
                  <w:pPr>
                    <w:widowControl/>
                    <w:jc w:val="center"/>
                    <w:rPr>
                      <w:rFonts w:cs="新細明體"/>
                      <w:kern w:val="0"/>
                      <w:sz w:val="24"/>
                    </w:rPr>
                  </w:pPr>
                </w:p>
              </w:tc>
              <w:tc>
                <w:tcPr>
                  <w:tcW w:w="4240" w:type="pct"/>
                  <w:vAlign w:val="center"/>
                  <w:hideMark/>
                </w:tcPr>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學生取得經我國駐外使領館、代表處、辦事處或其他經外交部授權機構查</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證認定相當於國內高級中學教育階段之正式合格國外學歷，其在國外所修</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之科目學分，經學校審查符合課程要求，或經甄試及格者，</w:t>
                  </w:r>
                  <w:proofErr w:type="gramStart"/>
                  <w:r w:rsidRPr="00C95089">
                    <w:rPr>
                      <w:rFonts w:cs="細明體" w:hint="eastAsia"/>
                      <w:kern w:val="0"/>
                      <w:sz w:val="24"/>
                    </w:rPr>
                    <w:t>得列抵免</w:t>
                  </w:r>
                  <w:proofErr w:type="gramEnd"/>
                  <w:r w:rsidRPr="00C95089">
                    <w:rPr>
                      <w:rFonts w:cs="細明體" w:hint="eastAsia"/>
                      <w:kern w:val="0"/>
                      <w:sz w:val="24"/>
                    </w:rPr>
                    <w:t>修或</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升級。</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學生經學校核准後，赴國外或國內其他高級中等以上學校進修或學習，取</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得學分證明、學習成就或教育訓練，經學校審查符合課程要求者，得列抵</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免修或升級。</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前二項學生學歷、學分證明、學習成就或教育訓練之審查、甄試、學分</w:t>
                  </w:r>
                  <w:proofErr w:type="gramStart"/>
                  <w:r w:rsidRPr="00C95089">
                    <w:rPr>
                      <w:rFonts w:cs="細明體" w:hint="eastAsia"/>
                      <w:kern w:val="0"/>
                      <w:sz w:val="24"/>
                    </w:rPr>
                    <w:t>採</w:t>
                  </w:r>
                  <w:proofErr w:type="gramEnd"/>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計及赴國外或國內其他高級中等以上學校學習期間之相關規定，由各該主</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管教育行政機關定之。</w:t>
                  </w:r>
                </w:p>
              </w:tc>
            </w:tr>
            <w:tr w:rsidR="00DE30E2" w:rsidRPr="008718E4" w:rsidTr="00EF6E2F">
              <w:trPr>
                <w:tblCellSpacing w:w="15" w:type="dxa"/>
              </w:trPr>
              <w:tc>
                <w:tcPr>
                  <w:tcW w:w="667" w:type="pct"/>
                  <w:noWrap/>
                  <w:vAlign w:val="center"/>
                  <w:hideMark/>
                </w:tcPr>
                <w:p w:rsidR="00DE30E2" w:rsidRPr="00C95089" w:rsidRDefault="00DE30E2" w:rsidP="00EF6E2F">
                  <w:pPr>
                    <w:widowControl/>
                    <w:rPr>
                      <w:sz w:val="24"/>
                    </w:rPr>
                  </w:pPr>
                  <w:hyperlink r:id="rId16" w:history="1">
                    <w:r w:rsidRPr="00C95089">
                      <w:rPr>
                        <w:sz w:val="24"/>
                      </w:rPr>
                      <w:t>第 15 條</w:t>
                    </w:r>
                  </w:hyperlink>
                  <w:r w:rsidRPr="00C95089">
                    <w:rPr>
                      <w:sz w:val="24"/>
                    </w:rPr>
                    <w:t xml:space="preserve"> </w:t>
                  </w:r>
                </w:p>
                <w:p w:rsidR="00DE30E2" w:rsidRPr="00C95089" w:rsidRDefault="00DE30E2" w:rsidP="00EF6E2F">
                  <w:pPr>
                    <w:widowControl/>
                    <w:rPr>
                      <w:rFonts w:cs="新細明體"/>
                      <w:kern w:val="0"/>
                      <w:sz w:val="24"/>
                    </w:rPr>
                  </w:pPr>
                </w:p>
              </w:tc>
              <w:tc>
                <w:tcPr>
                  <w:tcW w:w="27" w:type="pct"/>
                  <w:vAlign w:val="center"/>
                  <w:hideMark/>
                </w:tcPr>
                <w:p w:rsidR="00DE30E2" w:rsidRPr="00C95089" w:rsidRDefault="00DE30E2" w:rsidP="00EF6E2F">
                  <w:pPr>
                    <w:widowControl/>
                    <w:jc w:val="center"/>
                    <w:rPr>
                      <w:rFonts w:cs="新細明體"/>
                      <w:kern w:val="0"/>
                      <w:sz w:val="24"/>
                    </w:rPr>
                  </w:pPr>
                </w:p>
              </w:tc>
              <w:tc>
                <w:tcPr>
                  <w:tcW w:w="4240" w:type="pct"/>
                  <w:vAlign w:val="center"/>
                  <w:hideMark/>
                </w:tcPr>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學校得推薦學生赴專科以上學校預修進階專業課程；其辦理方式及成績考</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查，由各校協調專科以上學</w:t>
                  </w:r>
                  <w:proofErr w:type="gramStart"/>
                  <w:r w:rsidRPr="00C95089">
                    <w:rPr>
                      <w:rFonts w:cs="細明體" w:hint="eastAsia"/>
                      <w:kern w:val="0"/>
                      <w:sz w:val="24"/>
                    </w:rPr>
                    <w:t>校定</w:t>
                  </w:r>
                  <w:proofErr w:type="gramEnd"/>
                  <w:r w:rsidRPr="00C95089">
                    <w:rPr>
                      <w:rFonts w:cs="細明體" w:hint="eastAsia"/>
                      <w:kern w:val="0"/>
                      <w:sz w:val="24"/>
                    </w:rPr>
                    <w:t>之。</w:t>
                  </w:r>
                </w:p>
              </w:tc>
            </w:tr>
            <w:tr w:rsidR="00DE30E2" w:rsidRPr="008718E4" w:rsidTr="00EF6E2F">
              <w:trPr>
                <w:tblCellSpacing w:w="15" w:type="dxa"/>
              </w:trPr>
              <w:tc>
                <w:tcPr>
                  <w:tcW w:w="667" w:type="pct"/>
                  <w:noWrap/>
                  <w:vAlign w:val="center"/>
                  <w:hideMark/>
                </w:tcPr>
                <w:p w:rsidR="00DE30E2" w:rsidRPr="00C95089" w:rsidRDefault="00DE30E2" w:rsidP="00EF6E2F">
                  <w:pPr>
                    <w:widowControl/>
                    <w:rPr>
                      <w:sz w:val="24"/>
                    </w:rPr>
                  </w:pPr>
                  <w:hyperlink r:id="rId17" w:history="1">
                    <w:r w:rsidRPr="00C95089">
                      <w:rPr>
                        <w:sz w:val="24"/>
                      </w:rPr>
                      <w:t>第 16 條</w:t>
                    </w:r>
                  </w:hyperlink>
                  <w:r w:rsidRPr="00C95089">
                    <w:rPr>
                      <w:sz w:val="24"/>
                    </w:rPr>
                    <w:t xml:space="preserve"> </w:t>
                  </w:r>
                </w:p>
                <w:p w:rsidR="00DE30E2" w:rsidRPr="00C95089" w:rsidRDefault="00DE30E2" w:rsidP="00EF6E2F">
                  <w:pPr>
                    <w:widowControl/>
                    <w:rPr>
                      <w:rFonts w:cs="新細明體"/>
                      <w:kern w:val="0"/>
                      <w:sz w:val="24"/>
                    </w:rPr>
                  </w:pPr>
                </w:p>
                <w:p w:rsidR="00DE30E2" w:rsidRPr="00C95089" w:rsidRDefault="00DE30E2" w:rsidP="00EF6E2F">
                  <w:pPr>
                    <w:widowControl/>
                    <w:rPr>
                      <w:rFonts w:cs="新細明體"/>
                      <w:kern w:val="0"/>
                      <w:sz w:val="24"/>
                    </w:rPr>
                  </w:pPr>
                </w:p>
                <w:p w:rsidR="00DE30E2" w:rsidRPr="00C95089" w:rsidRDefault="00DE30E2" w:rsidP="00EF6E2F">
                  <w:pPr>
                    <w:widowControl/>
                    <w:rPr>
                      <w:rFonts w:cs="新細明體"/>
                      <w:kern w:val="0"/>
                      <w:sz w:val="24"/>
                    </w:rPr>
                  </w:pPr>
                </w:p>
              </w:tc>
              <w:tc>
                <w:tcPr>
                  <w:tcW w:w="27" w:type="pct"/>
                  <w:vAlign w:val="center"/>
                  <w:hideMark/>
                </w:tcPr>
                <w:p w:rsidR="00DE30E2" w:rsidRPr="00C95089" w:rsidRDefault="00DE30E2" w:rsidP="00EF6E2F">
                  <w:pPr>
                    <w:widowControl/>
                    <w:jc w:val="center"/>
                    <w:rPr>
                      <w:rFonts w:cs="新細明體"/>
                      <w:kern w:val="0"/>
                      <w:sz w:val="24"/>
                    </w:rPr>
                  </w:pPr>
                </w:p>
              </w:tc>
              <w:tc>
                <w:tcPr>
                  <w:tcW w:w="4240" w:type="pct"/>
                  <w:vAlign w:val="center"/>
                  <w:hideMark/>
                </w:tcPr>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學生缺課除因公假、病假、產前假、</w:t>
                  </w:r>
                  <w:proofErr w:type="gramStart"/>
                  <w:r w:rsidRPr="00C95089">
                    <w:rPr>
                      <w:rFonts w:cs="細明體" w:hint="eastAsia"/>
                      <w:kern w:val="0"/>
                      <w:sz w:val="24"/>
                    </w:rPr>
                    <w:t>娩</w:t>
                  </w:r>
                  <w:proofErr w:type="gramEnd"/>
                  <w:r w:rsidRPr="00C95089">
                    <w:rPr>
                      <w:rFonts w:cs="細明體" w:hint="eastAsia"/>
                      <w:kern w:val="0"/>
                      <w:sz w:val="24"/>
                    </w:rPr>
                    <w:t>假、流產假、育嬰假、生理假、喪</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假或其他特殊事故，經學校核准給假外，其缺課節數達該科目全學期教學</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proofErr w:type="gramStart"/>
                  <w:r w:rsidRPr="00C95089">
                    <w:rPr>
                      <w:rFonts w:cs="細明體" w:hint="eastAsia"/>
                      <w:kern w:val="0"/>
                      <w:sz w:val="24"/>
                    </w:rPr>
                    <w:t>總節數</w:t>
                  </w:r>
                  <w:proofErr w:type="gramEnd"/>
                  <w:r w:rsidRPr="00C95089">
                    <w:rPr>
                      <w:rFonts w:cs="細明體" w:hint="eastAsia"/>
                      <w:kern w:val="0"/>
                      <w:sz w:val="24"/>
                    </w:rPr>
                    <w:t>三分之一者，該科目成績以零分計算。</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學生缺課致影響課業時，學校應視其情形給予個別輔導。</w:t>
                  </w:r>
                </w:p>
              </w:tc>
            </w:tr>
            <w:tr w:rsidR="00DE30E2" w:rsidRPr="008718E4" w:rsidTr="00EF6E2F">
              <w:trPr>
                <w:tblCellSpacing w:w="15" w:type="dxa"/>
              </w:trPr>
              <w:tc>
                <w:tcPr>
                  <w:tcW w:w="667" w:type="pct"/>
                  <w:noWrap/>
                  <w:vAlign w:val="center"/>
                  <w:hideMark/>
                </w:tcPr>
                <w:p w:rsidR="00DE30E2" w:rsidRPr="00C95089" w:rsidRDefault="00DE30E2" w:rsidP="00EF6E2F">
                  <w:pPr>
                    <w:widowControl/>
                    <w:rPr>
                      <w:rFonts w:cs="新細明體"/>
                      <w:kern w:val="0"/>
                      <w:sz w:val="24"/>
                    </w:rPr>
                  </w:pPr>
                  <w:hyperlink r:id="rId18" w:history="1">
                    <w:r w:rsidRPr="00C95089">
                      <w:rPr>
                        <w:sz w:val="24"/>
                      </w:rPr>
                      <w:t>第 17 條</w:t>
                    </w:r>
                  </w:hyperlink>
                  <w:r w:rsidRPr="00C95089">
                    <w:rPr>
                      <w:rFonts w:cs="新細明體"/>
                      <w:kern w:val="0"/>
                      <w:sz w:val="24"/>
                    </w:rPr>
                    <w:t xml:space="preserve"> </w:t>
                  </w:r>
                </w:p>
                <w:p w:rsidR="00DE30E2" w:rsidRPr="00C95089" w:rsidRDefault="00DE30E2" w:rsidP="00EF6E2F">
                  <w:pPr>
                    <w:widowControl/>
                    <w:rPr>
                      <w:rFonts w:cs="新細明體"/>
                      <w:kern w:val="0"/>
                      <w:sz w:val="24"/>
                    </w:rPr>
                  </w:pPr>
                </w:p>
                <w:p w:rsidR="00DE30E2" w:rsidRPr="00C95089" w:rsidRDefault="00DE30E2" w:rsidP="00EF6E2F">
                  <w:pPr>
                    <w:widowControl/>
                    <w:rPr>
                      <w:rFonts w:cs="新細明體"/>
                      <w:kern w:val="0"/>
                      <w:sz w:val="24"/>
                    </w:rPr>
                  </w:pPr>
                </w:p>
              </w:tc>
              <w:tc>
                <w:tcPr>
                  <w:tcW w:w="27" w:type="pct"/>
                  <w:vAlign w:val="center"/>
                  <w:hideMark/>
                </w:tcPr>
                <w:p w:rsidR="00DE30E2" w:rsidRPr="00C95089" w:rsidRDefault="00DE30E2" w:rsidP="00EF6E2F">
                  <w:pPr>
                    <w:widowControl/>
                    <w:jc w:val="center"/>
                    <w:rPr>
                      <w:rFonts w:cs="新細明體"/>
                      <w:kern w:val="0"/>
                      <w:sz w:val="24"/>
                    </w:rPr>
                  </w:pPr>
                </w:p>
              </w:tc>
              <w:tc>
                <w:tcPr>
                  <w:tcW w:w="4240" w:type="pct"/>
                  <w:vAlign w:val="center"/>
                  <w:hideMark/>
                </w:tcPr>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德行評量之獎懲，依下列規定辦理：</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一、獎勵：分為嘉獎、小功及大功。</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二、懲處：分為警告、小過、大過及留校察看。</w:t>
                  </w:r>
                </w:p>
                <w:p w:rsidR="00DE30E2" w:rsidRPr="00C95089" w:rsidRDefault="00DE30E2" w:rsidP="00DE30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550" w:left="1210"/>
                    <w:rPr>
                      <w:rFonts w:cs="細明體"/>
                      <w:kern w:val="0"/>
                      <w:sz w:val="24"/>
                    </w:rPr>
                  </w:pPr>
                  <w:r w:rsidRPr="00C95089">
                    <w:rPr>
                      <w:rFonts w:cs="細明體" w:hint="eastAsia"/>
                      <w:kern w:val="0"/>
                      <w:sz w:val="24"/>
                    </w:rPr>
                    <w:t>學生之獎懲，除應通知學生、導師、家長或監護人外，於學期結束時列入德行評量。</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第一項之獎懲項目、事由、程序、獎懲相抵及銷過之相關規定，由各</w:t>
                  </w:r>
                  <w:proofErr w:type="gramStart"/>
                  <w:r w:rsidRPr="00C95089">
                    <w:rPr>
                      <w:rFonts w:cs="細明體" w:hint="eastAsia"/>
                      <w:kern w:val="0"/>
                      <w:sz w:val="24"/>
                    </w:rPr>
                    <w:t>校定</w:t>
                  </w:r>
                  <w:proofErr w:type="gramEnd"/>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之。</w:t>
                  </w:r>
                </w:p>
              </w:tc>
            </w:tr>
            <w:tr w:rsidR="00DE30E2" w:rsidRPr="008718E4" w:rsidTr="00EF6E2F">
              <w:trPr>
                <w:tblCellSpacing w:w="15" w:type="dxa"/>
              </w:trPr>
              <w:tc>
                <w:tcPr>
                  <w:tcW w:w="667" w:type="pct"/>
                  <w:noWrap/>
                  <w:vAlign w:val="center"/>
                  <w:hideMark/>
                </w:tcPr>
                <w:p w:rsidR="00DE30E2" w:rsidRPr="00C95089" w:rsidRDefault="00DE30E2" w:rsidP="00EF6E2F">
                  <w:pPr>
                    <w:widowControl/>
                    <w:rPr>
                      <w:rFonts w:cs="新細明體"/>
                      <w:kern w:val="0"/>
                      <w:sz w:val="24"/>
                    </w:rPr>
                  </w:pPr>
                  <w:hyperlink r:id="rId19" w:history="1">
                    <w:r w:rsidRPr="00C95089">
                      <w:rPr>
                        <w:sz w:val="24"/>
                      </w:rPr>
                      <w:t>第 18 條</w:t>
                    </w:r>
                  </w:hyperlink>
                  <w:r w:rsidRPr="00C95089">
                    <w:rPr>
                      <w:rFonts w:cs="新細明體"/>
                      <w:kern w:val="0"/>
                      <w:sz w:val="24"/>
                    </w:rPr>
                    <w:t xml:space="preserve"> </w:t>
                  </w:r>
                </w:p>
                <w:p w:rsidR="00DE30E2" w:rsidRPr="00C95089" w:rsidRDefault="00DE30E2" w:rsidP="00EF6E2F">
                  <w:pPr>
                    <w:widowControl/>
                    <w:rPr>
                      <w:rFonts w:cs="新細明體"/>
                      <w:kern w:val="0"/>
                      <w:sz w:val="24"/>
                    </w:rPr>
                  </w:pPr>
                </w:p>
                <w:p w:rsidR="00DE30E2" w:rsidRPr="00C95089" w:rsidRDefault="00DE30E2" w:rsidP="00EF6E2F">
                  <w:pPr>
                    <w:widowControl/>
                    <w:rPr>
                      <w:rFonts w:cs="新細明體"/>
                      <w:kern w:val="0"/>
                      <w:sz w:val="24"/>
                    </w:rPr>
                  </w:pPr>
                </w:p>
              </w:tc>
              <w:tc>
                <w:tcPr>
                  <w:tcW w:w="27" w:type="pct"/>
                  <w:vAlign w:val="center"/>
                  <w:hideMark/>
                </w:tcPr>
                <w:p w:rsidR="00DE30E2" w:rsidRPr="00C95089" w:rsidRDefault="00DE30E2" w:rsidP="00EF6E2F">
                  <w:pPr>
                    <w:widowControl/>
                    <w:jc w:val="center"/>
                    <w:rPr>
                      <w:rFonts w:cs="新細明體"/>
                      <w:kern w:val="0"/>
                      <w:sz w:val="24"/>
                    </w:rPr>
                  </w:pPr>
                </w:p>
              </w:tc>
              <w:tc>
                <w:tcPr>
                  <w:tcW w:w="4240" w:type="pct"/>
                  <w:vAlign w:val="center"/>
                  <w:hideMark/>
                </w:tcPr>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學生請假別，分為公假、事假、病假、產前假、</w:t>
                  </w:r>
                  <w:proofErr w:type="gramStart"/>
                  <w:r w:rsidRPr="00C95089">
                    <w:rPr>
                      <w:rFonts w:cs="細明體" w:hint="eastAsia"/>
                      <w:kern w:val="0"/>
                      <w:sz w:val="24"/>
                    </w:rPr>
                    <w:t>娩</w:t>
                  </w:r>
                  <w:proofErr w:type="gramEnd"/>
                  <w:r w:rsidRPr="00C95089">
                    <w:rPr>
                      <w:rFonts w:cs="細明體" w:hint="eastAsia"/>
                      <w:kern w:val="0"/>
                      <w:sz w:val="24"/>
                    </w:rPr>
                    <w:t>假、流產假、育嬰假、</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生理假及喪假；其請假規定，由各</w:t>
                  </w:r>
                  <w:proofErr w:type="gramStart"/>
                  <w:r w:rsidRPr="00C95089">
                    <w:rPr>
                      <w:rFonts w:cs="細明體" w:hint="eastAsia"/>
                      <w:kern w:val="0"/>
                      <w:sz w:val="24"/>
                    </w:rPr>
                    <w:t>校定</w:t>
                  </w:r>
                  <w:proofErr w:type="gramEnd"/>
                  <w:r w:rsidRPr="00C95089">
                    <w:rPr>
                      <w:rFonts w:cs="細明體" w:hint="eastAsia"/>
                      <w:kern w:val="0"/>
                      <w:sz w:val="24"/>
                    </w:rPr>
                    <w:t>之。</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德行評量之出缺席紀錄，依學生請假規定辦理。</w:t>
                  </w:r>
                </w:p>
              </w:tc>
            </w:tr>
            <w:tr w:rsidR="00DE30E2" w:rsidRPr="008718E4" w:rsidTr="00EF6E2F">
              <w:trPr>
                <w:tblCellSpacing w:w="15" w:type="dxa"/>
              </w:trPr>
              <w:tc>
                <w:tcPr>
                  <w:tcW w:w="667" w:type="pct"/>
                  <w:noWrap/>
                  <w:vAlign w:val="center"/>
                  <w:hideMark/>
                </w:tcPr>
                <w:p w:rsidR="00DE30E2" w:rsidRPr="00C95089" w:rsidRDefault="00DE30E2" w:rsidP="00EF6E2F">
                  <w:pPr>
                    <w:widowControl/>
                    <w:rPr>
                      <w:rFonts w:cs="新細明體"/>
                      <w:kern w:val="0"/>
                      <w:sz w:val="24"/>
                    </w:rPr>
                  </w:pPr>
                  <w:hyperlink r:id="rId20" w:history="1">
                    <w:r w:rsidRPr="00C95089">
                      <w:rPr>
                        <w:sz w:val="24"/>
                      </w:rPr>
                      <w:t>第 19 條</w:t>
                    </w:r>
                  </w:hyperlink>
                  <w:r w:rsidRPr="00C95089">
                    <w:rPr>
                      <w:rFonts w:cs="新細明體"/>
                      <w:kern w:val="0"/>
                      <w:sz w:val="24"/>
                    </w:rPr>
                    <w:t xml:space="preserve"> </w:t>
                  </w:r>
                </w:p>
                <w:p w:rsidR="00DE30E2" w:rsidRPr="00C95089" w:rsidRDefault="00DE30E2" w:rsidP="00EF6E2F">
                  <w:pPr>
                    <w:widowControl/>
                    <w:rPr>
                      <w:rFonts w:cs="新細明體"/>
                      <w:kern w:val="0"/>
                      <w:sz w:val="24"/>
                    </w:rPr>
                  </w:pPr>
                </w:p>
                <w:p w:rsidR="00DE30E2" w:rsidRPr="00C95089" w:rsidRDefault="00DE30E2" w:rsidP="00EF6E2F">
                  <w:pPr>
                    <w:widowControl/>
                    <w:rPr>
                      <w:rFonts w:cs="新細明體"/>
                      <w:kern w:val="0"/>
                      <w:sz w:val="24"/>
                    </w:rPr>
                  </w:pPr>
                </w:p>
                <w:p w:rsidR="00DE30E2" w:rsidRPr="00C95089" w:rsidRDefault="00DE30E2" w:rsidP="00EF6E2F">
                  <w:pPr>
                    <w:widowControl/>
                    <w:rPr>
                      <w:rFonts w:cs="新細明體"/>
                      <w:kern w:val="0"/>
                      <w:sz w:val="24"/>
                    </w:rPr>
                  </w:pPr>
                </w:p>
                <w:p w:rsidR="00DE30E2" w:rsidRPr="00C95089" w:rsidRDefault="00DE30E2" w:rsidP="00EF6E2F">
                  <w:pPr>
                    <w:widowControl/>
                    <w:rPr>
                      <w:rFonts w:cs="新細明體"/>
                      <w:kern w:val="0"/>
                      <w:sz w:val="24"/>
                    </w:rPr>
                  </w:pPr>
                </w:p>
              </w:tc>
              <w:tc>
                <w:tcPr>
                  <w:tcW w:w="27" w:type="pct"/>
                  <w:vAlign w:val="center"/>
                  <w:hideMark/>
                </w:tcPr>
                <w:p w:rsidR="00DE30E2" w:rsidRPr="00C95089" w:rsidRDefault="00DE30E2" w:rsidP="00EF6E2F">
                  <w:pPr>
                    <w:widowControl/>
                    <w:jc w:val="center"/>
                    <w:rPr>
                      <w:rFonts w:cs="新細明體"/>
                      <w:kern w:val="0"/>
                      <w:sz w:val="24"/>
                    </w:rPr>
                  </w:pPr>
                </w:p>
              </w:tc>
              <w:tc>
                <w:tcPr>
                  <w:tcW w:w="4240" w:type="pct"/>
                  <w:vAlign w:val="center"/>
                  <w:hideMark/>
                </w:tcPr>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德行評量以學期為單位由導師依第三條第二款各目規定，參考各科任課教</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師及相關行政單位提供之意見，依行為事實記錄，並視需要提出具體建議，作為學生輔導及其他</w:t>
                  </w:r>
                  <w:proofErr w:type="gramStart"/>
                  <w:r w:rsidRPr="00C95089">
                    <w:rPr>
                      <w:rFonts w:cs="細明體" w:hint="eastAsia"/>
                      <w:kern w:val="0"/>
                      <w:sz w:val="24"/>
                    </w:rPr>
                    <w:t>適</w:t>
                  </w:r>
                  <w:proofErr w:type="gramEnd"/>
                  <w:r w:rsidRPr="00C95089">
                    <w:rPr>
                      <w:rFonts w:cs="細明體" w:hint="eastAsia"/>
                      <w:kern w:val="0"/>
                      <w:sz w:val="24"/>
                    </w:rPr>
                    <w:t>性教育安置之依據。</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重、補修學生及延修學生之德行評量，由學校依其修課情形並參酌一般學</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生之規定</w:t>
                  </w:r>
                  <w:proofErr w:type="gramStart"/>
                  <w:r w:rsidRPr="00C95089">
                    <w:rPr>
                      <w:rFonts w:cs="細明體" w:hint="eastAsia"/>
                      <w:kern w:val="0"/>
                      <w:sz w:val="24"/>
                    </w:rPr>
                    <w:t>定</w:t>
                  </w:r>
                  <w:proofErr w:type="gramEnd"/>
                  <w:r w:rsidRPr="00C95089">
                    <w:rPr>
                      <w:rFonts w:cs="細明體" w:hint="eastAsia"/>
                      <w:kern w:val="0"/>
                      <w:sz w:val="24"/>
                    </w:rPr>
                    <w:t>之。</w:t>
                  </w:r>
                </w:p>
              </w:tc>
            </w:tr>
            <w:tr w:rsidR="00DE30E2" w:rsidRPr="008718E4" w:rsidTr="00EF6E2F">
              <w:trPr>
                <w:tblCellSpacing w:w="15" w:type="dxa"/>
              </w:trPr>
              <w:tc>
                <w:tcPr>
                  <w:tcW w:w="667" w:type="pct"/>
                  <w:noWrap/>
                  <w:vAlign w:val="center"/>
                  <w:hideMark/>
                </w:tcPr>
                <w:p w:rsidR="00DE30E2" w:rsidRPr="00C95089" w:rsidRDefault="00DE30E2" w:rsidP="00EF6E2F">
                  <w:pPr>
                    <w:widowControl/>
                    <w:rPr>
                      <w:rFonts w:cs="新細明體"/>
                      <w:kern w:val="0"/>
                      <w:sz w:val="24"/>
                    </w:rPr>
                  </w:pPr>
                  <w:hyperlink r:id="rId21" w:history="1">
                    <w:r w:rsidRPr="00C95089">
                      <w:rPr>
                        <w:sz w:val="24"/>
                      </w:rPr>
                      <w:t>第 20 條</w:t>
                    </w:r>
                  </w:hyperlink>
                  <w:r w:rsidRPr="00C95089">
                    <w:rPr>
                      <w:rFonts w:cs="新細明體"/>
                      <w:kern w:val="0"/>
                      <w:sz w:val="24"/>
                    </w:rPr>
                    <w:t xml:space="preserve"> </w:t>
                  </w:r>
                </w:p>
                <w:p w:rsidR="00DE30E2" w:rsidRPr="00C95089" w:rsidRDefault="00DE30E2" w:rsidP="00EF6E2F">
                  <w:pPr>
                    <w:widowControl/>
                    <w:rPr>
                      <w:rFonts w:cs="新細明體"/>
                      <w:kern w:val="0"/>
                      <w:sz w:val="24"/>
                    </w:rPr>
                  </w:pPr>
                </w:p>
                <w:p w:rsidR="00DE30E2" w:rsidRPr="00C95089" w:rsidRDefault="00DE30E2" w:rsidP="00EF6E2F">
                  <w:pPr>
                    <w:widowControl/>
                    <w:rPr>
                      <w:rFonts w:cs="新細明體"/>
                      <w:kern w:val="0"/>
                      <w:sz w:val="24"/>
                    </w:rPr>
                  </w:pPr>
                </w:p>
              </w:tc>
              <w:tc>
                <w:tcPr>
                  <w:tcW w:w="27" w:type="pct"/>
                  <w:vAlign w:val="center"/>
                  <w:hideMark/>
                </w:tcPr>
                <w:p w:rsidR="00DE30E2" w:rsidRPr="00C95089" w:rsidRDefault="00DE30E2" w:rsidP="00EF6E2F">
                  <w:pPr>
                    <w:widowControl/>
                    <w:jc w:val="center"/>
                    <w:rPr>
                      <w:rFonts w:cs="新細明體"/>
                      <w:kern w:val="0"/>
                      <w:sz w:val="24"/>
                    </w:rPr>
                  </w:pPr>
                </w:p>
              </w:tc>
              <w:tc>
                <w:tcPr>
                  <w:tcW w:w="4240" w:type="pct"/>
                  <w:vAlign w:val="center"/>
                  <w:hideMark/>
                </w:tcPr>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學生除公假外，全學期缺課達教學總日數二分之一者，應辦理休學。</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學生曠課累積達四十二節，經提學生事務會議通過後，應依據各校學生獎</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proofErr w:type="gramStart"/>
                  <w:r w:rsidRPr="00C95089">
                    <w:rPr>
                      <w:rFonts w:cs="細明體" w:hint="eastAsia"/>
                      <w:kern w:val="0"/>
                      <w:sz w:val="24"/>
                    </w:rPr>
                    <w:lastRenderedPageBreak/>
                    <w:t>懲</w:t>
                  </w:r>
                  <w:proofErr w:type="gramEnd"/>
                  <w:r w:rsidRPr="00C95089">
                    <w:rPr>
                      <w:rFonts w:cs="細明體" w:hint="eastAsia"/>
                      <w:kern w:val="0"/>
                      <w:sz w:val="24"/>
                    </w:rPr>
                    <w:t>規定與相關程序輔導及安置。</w:t>
                  </w:r>
                </w:p>
              </w:tc>
            </w:tr>
            <w:tr w:rsidR="00DE30E2" w:rsidRPr="008718E4" w:rsidTr="00EF6E2F">
              <w:trPr>
                <w:tblCellSpacing w:w="15" w:type="dxa"/>
              </w:trPr>
              <w:tc>
                <w:tcPr>
                  <w:tcW w:w="667" w:type="pct"/>
                  <w:noWrap/>
                  <w:vAlign w:val="center"/>
                  <w:hideMark/>
                </w:tcPr>
                <w:p w:rsidR="00DE30E2" w:rsidRPr="00C95089" w:rsidRDefault="00DE30E2" w:rsidP="00EF6E2F">
                  <w:pPr>
                    <w:widowControl/>
                    <w:rPr>
                      <w:sz w:val="24"/>
                    </w:rPr>
                  </w:pPr>
                  <w:hyperlink r:id="rId22" w:history="1">
                    <w:r w:rsidRPr="00C95089">
                      <w:rPr>
                        <w:sz w:val="24"/>
                      </w:rPr>
                      <w:t>第 21 條</w:t>
                    </w:r>
                  </w:hyperlink>
                </w:p>
                <w:p w:rsidR="00DE30E2" w:rsidRPr="00C95089" w:rsidRDefault="00DE30E2" w:rsidP="00EF6E2F">
                  <w:pPr>
                    <w:widowControl/>
                    <w:rPr>
                      <w:rFonts w:cs="新細明體"/>
                      <w:kern w:val="0"/>
                      <w:sz w:val="24"/>
                    </w:rPr>
                  </w:pPr>
                </w:p>
                <w:p w:rsidR="00DE30E2" w:rsidRPr="00C95089" w:rsidRDefault="00DE30E2" w:rsidP="00EF6E2F">
                  <w:pPr>
                    <w:widowControl/>
                    <w:rPr>
                      <w:rFonts w:cs="新細明體"/>
                      <w:kern w:val="0"/>
                      <w:sz w:val="24"/>
                    </w:rPr>
                  </w:pPr>
                </w:p>
                <w:p w:rsidR="00DE30E2" w:rsidRPr="00C95089" w:rsidRDefault="00DE30E2" w:rsidP="00EF6E2F">
                  <w:pPr>
                    <w:widowControl/>
                    <w:rPr>
                      <w:rFonts w:cs="新細明體"/>
                      <w:kern w:val="0"/>
                      <w:sz w:val="24"/>
                    </w:rPr>
                  </w:pPr>
                </w:p>
                <w:p w:rsidR="00DE30E2" w:rsidRPr="00C95089" w:rsidRDefault="00DE30E2" w:rsidP="00EF6E2F">
                  <w:pPr>
                    <w:widowControl/>
                    <w:rPr>
                      <w:rFonts w:cs="新細明體"/>
                      <w:kern w:val="0"/>
                      <w:sz w:val="24"/>
                    </w:rPr>
                  </w:pPr>
                </w:p>
                <w:p w:rsidR="00DE30E2" w:rsidRPr="00C95089" w:rsidRDefault="00DE30E2" w:rsidP="00EF6E2F">
                  <w:pPr>
                    <w:widowControl/>
                    <w:rPr>
                      <w:rFonts w:cs="新細明體"/>
                      <w:kern w:val="0"/>
                      <w:sz w:val="24"/>
                    </w:rPr>
                  </w:pPr>
                </w:p>
                <w:p w:rsidR="00DE30E2" w:rsidRPr="00C95089" w:rsidRDefault="00DE30E2" w:rsidP="00EF6E2F">
                  <w:pPr>
                    <w:widowControl/>
                    <w:rPr>
                      <w:rFonts w:cs="新細明體"/>
                      <w:kern w:val="0"/>
                      <w:sz w:val="24"/>
                    </w:rPr>
                  </w:pPr>
                </w:p>
                <w:p w:rsidR="00DE30E2" w:rsidRPr="00C95089" w:rsidRDefault="00DE30E2" w:rsidP="00EF6E2F">
                  <w:pPr>
                    <w:widowControl/>
                    <w:rPr>
                      <w:rFonts w:cs="新細明體"/>
                      <w:kern w:val="0"/>
                      <w:sz w:val="24"/>
                    </w:rPr>
                  </w:pPr>
                </w:p>
                <w:p w:rsidR="00DE30E2" w:rsidRPr="00C95089" w:rsidRDefault="00DE30E2" w:rsidP="00EF6E2F">
                  <w:pPr>
                    <w:widowControl/>
                    <w:rPr>
                      <w:rFonts w:cs="新細明體"/>
                      <w:kern w:val="0"/>
                      <w:sz w:val="24"/>
                    </w:rPr>
                  </w:pPr>
                </w:p>
              </w:tc>
              <w:tc>
                <w:tcPr>
                  <w:tcW w:w="27" w:type="pct"/>
                  <w:vAlign w:val="center"/>
                </w:tcPr>
                <w:p w:rsidR="00DE30E2" w:rsidRPr="00C95089" w:rsidRDefault="00DE30E2" w:rsidP="00EF6E2F">
                  <w:pPr>
                    <w:widowControl/>
                    <w:jc w:val="center"/>
                    <w:rPr>
                      <w:rFonts w:cs="新細明體"/>
                      <w:kern w:val="0"/>
                      <w:sz w:val="24"/>
                    </w:rPr>
                  </w:pPr>
                  <w:r w:rsidRPr="00C95089">
                    <w:rPr>
                      <w:rFonts w:cs="新細明體" w:hint="eastAsia"/>
                      <w:kern w:val="0"/>
                      <w:sz w:val="24"/>
                    </w:rPr>
                    <w:t xml:space="preserve"> </w:t>
                  </w:r>
                </w:p>
              </w:tc>
              <w:tc>
                <w:tcPr>
                  <w:tcW w:w="4240" w:type="pct"/>
                  <w:vAlign w:val="center"/>
                  <w:hideMark/>
                </w:tcPr>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學生成績考查結果，依下列規定處理：</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一、符合下列情形者，准予畢業，並發給畢業證書：</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50" w:firstLine="360"/>
                    <w:rPr>
                      <w:rFonts w:cs="細明體"/>
                      <w:kern w:val="0"/>
                      <w:sz w:val="24"/>
                    </w:rPr>
                  </w:pPr>
                  <w:r w:rsidRPr="00C95089">
                    <w:rPr>
                      <w:rFonts w:cs="細明體" w:hint="eastAsia"/>
                      <w:kern w:val="0"/>
                      <w:sz w:val="24"/>
                    </w:rPr>
                    <w:t>（一）依教育部所定課程規定修業期滿</w:t>
                  </w:r>
                  <w:proofErr w:type="gramStart"/>
                  <w:r w:rsidRPr="00C95089">
                    <w:rPr>
                      <w:rFonts w:cs="細明體" w:hint="eastAsia"/>
                      <w:kern w:val="0"/>
                      <w:sz w:val="24"/>
                    </w:rPr>
                    <w:t>（</w:t>
                  </w:r>
                  <w:proofErr w:type="gramEnd"/>
                  <w:r w:rsidRPr="00C95089">
                    <w:rPr>
                      <w:rFonts w:cs="細明體" w:hint="eastAsia"/>
                      <w:kern w:val="0"/>
                      <w:sz w:val="24"/>
                    </w:rPr>
                    <w:t>修業年限日間部以三年為原則、</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 xml:space="preserve">        夜間部以四年為原則，得延長二年</w:t>
                  </w:r>
                  <w:proofErr w:type="gramStart"/>
                  <w:r w:rsidRPr="00C95089">
                    <w:rPr>
                      <w:rFonts w:cs="細明體" w:hint="eastAsia"/>
                      <w:kern w:val="0"/>
                      <w:sz w:val="24"/>
                    </w:rPr>
                    <w:t>）</w:t>
                  </w:r>
                  <w:proofErr w:type="gramEnd"/>
                  <w:r w:rsidRPr="00C95089">
                    <w:rPr>
                      <w:rFonts w:cs="細明體" w:hint="eastAsia"/>
                      <w:kern w:val="0"/>
                      <w:sz w:val="24"/>
                    </w:rPr>
                    <w:t>，已</w:t>
                  </w:r>
                  <w:proofErr w:type="gramStart"/>
                  <w:r w:rsidRPr="00C95089">
                    <w:rPr>
                      <w:rFonts w:cs="細明體" w:hint="eastAsia"/>
                      <w:kern w:val="0"/>
                      <w:sz w:val="24"/>
                    </w:rPr>
                    <w:t>修畢應修</w:t>
                  </w:r>
                  <w:proofErr w:type="gramEnd"/>
                  <w:r w:rsidRPr="00C95089">
                    <w:rPr>
                      <w:rFonts w:cs="細明體" w:hint="eastAsia"/>
                      <w:kern w:val="0"/>
                      <w:sz w:val="24"/>
                    </w:rPr>
                    <w:t>課程及學分。</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50" w:firstLine="360"/>
                    <w:rPr>
                      <w:rFonts w:cs="細明體"/>
                      <w:kern w:val="0"/>
                      <w:sz w:val="24"/>
                    </w:rPr>
                  </w:pPr>
                  <w:r w:rsidRPr="00C95089">
                    <w:rPr>
                      <w:rFonts w:cs="細明體" w:hint="eastAsia"/>
                      <w:kern w:val="0"/>
                      <w:sz w:val="24"/>
                    </w:rPr>
                    <w:t>（二</w:t>
                  </w:r>
                  <w:r w:rsidRPr="00C95089">
                    <w:rPr>
                      <w:rFonts w:cs="細明體"/>
                      <w:kern w:val="0"/>
                      <w:sz w:val="24"/>
                    </w:rPr>
                    <w:t>）</w:t>
                  </w:r>
                  <w:r w:rsidRPr="00C95089">
                    <w:rPr>
                      <w:rFonts w:cs="細明體" w:hint="eastAsia"/>
                      <w:kern w:val="0"/>
                      <w:sz w:val="24"/>
                    </w:rPr>
                    <w:t>修業期間德行評量之獎懲紀錄相抵後未滿</w:t>
                  </w:r>
                  <w:proofErr w:type="gramStart"/>
                  <w:r w:rsidRPr="00C95089">
                    <w:rPr>
                      <w:rFonts w:cs="細明體" w:hint="eastAsia"/>
                      <w:kern w:val="0"/>
                      <w:sz w:val="24"/>
                    </w:rPr>
                    <w:t>三</w:t>
                  </w:r>
                  <w:proofErr w:type="gramEnd"/>
                  <w:r w:rsidRPr="00C95089">
                    <w:rPr>
                      <w:rFonts w:cs="細明體" w:hint="eastAsia"/>
                      <w:kern w:val="0"/>
                      <w:sz w:val="24"/>
                    </w:rPr>
                    <w:t>大過者。</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二、 依教育部所定課程規定修業期滿，已修畢一百二十</w:t>
                  </w:r>
                  <w:proofErr w:type="gramStart"/>
                  <w:r w:rsidRPr="00C95089">
                    <w:rPr>
                      <w:rFonts w:cs="細明體" w:hint="eastAsia"/>
                      <w:kern w:val="0"/>
                      <w:sz w:val="24"/>
                    </w:rPr>
                    <w:t>個</w:t>
                  </w:r>
                  <w:proofErr w:type="gramEnd"/>
                  <w:r w:rsidRPr="00C95089">
                    <w:rPr>
                      <w:rFonts w:cs="細明體" w:hint="eastAsia"/>
                      <w:kern w:val="0"/>
                      <w:sz w:val="24"/>
                    </w:rPr>
                    <w:t>畢業應修學分</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 xml:space="preserve">     數，而未符合前款規定者，發給修業證明書。</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前項學生修畢實用技能學程分段課程，成績及格，另發給分段課程修業證</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明書。</w:t>
                  </w:r>
                </w:p>
              </w:tc>
            </w:tr>
            <w:tr w:rsidR="00DE30E2" w:rsidRPr="008718E4" w:rsidTr="00EF6E2F">
              <w:trPr>
                <w:tblCellSpacing w:w="15" w:type="dxa"/>
              </w:trPr>
              <w:tc>
                <w:tcPr>
                  <w:tcW w:w="667" w:type="pct"/>
                  <w:noWrap/>
                  <w:vAlign w:val="center"/>
                  <w:hideMark/>
                </w:tcPr>
                <w:p w:rsidR="00DE30E2" w:rsidRPr="00C95089" w:rsidRDefault="00DE30E2" w:rsidP="00EF6E2F">
                  <w:pPr>
                    <w:widowControl/>
                    <w:rPr>
                      <w:sz w:val="24"/>
                    </w:rPr>
                  </w:pPr>
                  <w:r w:rsidRPr="00C95089">
                    <w:rPr>
                      <w:sz w:val="24"/>
                    </w:rPr>
                    <w:t>第 22 條</w:t>
                  </w:r>
                </w:p>
                <w:p w:rsidR="00DE30E2" w:rsidRPr="00C95089" w:rsidRDefault="00DE30E2" w:rsidP="00EF6E2F">
                  <w:pPr>
                    <w:widowControl/>
                    <w:rPr>
                      <w:sz w:val="24"/>
                    </w:rPr>
                  </w:pPr>
                </w:p>
                <w:p w:rsidR="00DE30E2" w:rsidRPr="00C95089" w:rsidRDefault="00DE30E2" w:rsidP="00EF6E2F">
                  <w:pPr>
                    <w:widowControl/>
                    <w:rPr>
                      <w:sz w:val="24"/>
                    </w:rPr>
                  </w:pPr>
                  <w:r w:rsidRPr="00C95089">
                    <w:rPr>
                      <w:rFonts w:hint="eastAsia"/>
                      <w:sz w:val="24"/>
                    </w:rPr>
                    <w:t>第</w:t>
                  </w:r>
                  <w:r w:rsidRPr="00C95089">
                    <w:rPr>
                      <w:sz w:val="24"/>
                    </w:rPr>
                    <w:t xml:space="preserve"> 23 條</w:t>
                  </w:r>
                </w:p>
                <w:p w:rsidR="00DE30E2" w:rsidRPr="00C95089" w:rsidRDefault="00DE30E2" w:rsidP="00EF6E2F">
                  <w:pPr>
                    <w:widowControl/>
                    <w:rPr>
                      <w:rFonts w:cs="新細明體"/>
                      <w:color w:val="0000FF"/>
                      <w:kern w:val="0"/>
                      <w:sz w:val="24"/>
                      <w:u w:val="single"/>
                    </w:rPr>
                  </w:pPr>
                </w:p>
                <w:p w:rsidR="00DE30E2" w:rsidRPr="00C95089" w:rsidRDefault="00DE30E2" w:rsidP="00EF6E2F">
                  <w:pPr>
                    <w:widowControl/>
                    <w:rPr>
                      <w:rFonts w:cs="新細明體"/>
                      <w:color w:val="0000FF"/>
                      <w:kern w:val="0"/>
                      <w:sz w:val="24"/>
                      <w:u w:val="single"/>
                    </w:rPr>
                  </w:pPr>
                </w:p>
                <w:p w:rsidR="00DE30E2" w:rsidRPr="00C95089" w:rsidRDefault="00DE30E2" w:rsidP="00EF6E2F">
                  <w:pPr>
                    <w:widowControl/>
                    <w:rPr>
                      <w:sz w:val="24"/>
                    </w:rPr>
                  </w:pPr>
                </w:p>
                <w:p w:rsidR="00DE30E2" w:rsidRPr="00C95089" w:rsidRDefault="00DE30E2" w:rsidP="00EF6E2F">
                  <w:pPr>
                    <w:widowControl/>
                    <w:rPr>
                      <w:rFonts w:cs="新細明體"/>
                      <w:kern w:val="0"/>
                      <w:sz w:val="24"/>
                    </w:rPr>
                  </w:pPr>
                </w:p>
              </w:tc>
              <w:tc>
                <w:tcPr>
                  <w:tcW w:w="27" w:type="pct"/>
                  <w:vAlign w:val="center"/>
                  <w:hideMark/>
                </w:tcPr>
                <w:p w:rsidR="00DE30E2" w:rsidRPr="00C95089" w:rsidRDefault="00DE30E2" w:rsidP="00EF6E2F">
                  <w:pPr>
                    <w:widowControl/>
                    <w:rPr>
                      <w:rFonts w:cs="新細明體"/>
                      <w:kern w:val="0"/>
                      <w:sz w:val="24"/>
                    </w:rPr>
                  </w:pPr>
                </w:p>
              </w:tc>
              <w:tc>
                <w:tcPr>
                  <w:tcW w:w="4240" w:type="pct"/>
                  <w:vAlign w:val="center"/>
                  <w:hideMark/>
                </w:tcPr>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各校依本辦法所定之規定，或為適應實際需要自行訂定之成績考查補充</w:t>
                  </w:r>
                  <w:proofErr w:type="gramStart"/>
                  <w:r w:rsidRPr="00C95089">
                    <w:rPr>
                      <w:rFonts w:cs="細明體" w:hint="eastAsia"/>
                      <w:kern w:val="0"/>
                      <w:sz w:val="24"/>
                    </w:rPr>
                    <w:t>規</w:t>
                  </w:r>
                  <w:proofErr w:type="gramEnd"/>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定，應提校務會議通過，並報各該主管教育行政機關備查。</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中華民國九十七年十一月二十七日修正發布之第三條、第十七條、第十八</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條第二項、第十九條、第二十一條及前條規定，自中華民國九十七年八月</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一日施行。</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九十八年十一月四日修正發布之第八條第三項、第十一條及第二十一條，</w:t>
                  </w:r>
                </w:p>
                <w:p w:rsidR="00DE30E2" w:rsidRPr="00C95089"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kern w:val="0"/>
                      <w:sz w:val="24"/>
                    </w:rPr>
                  </w:pPr>
                  <w:r w:rsidRPr="00C95089">
                    <w:rPr>
                      <w:rFonts w:cs="細明體" w:hint="eastAsia"/>
                      <w:kern w:val="0"/>
                      <w:sz w:val="24"/>
                    </w:rPr>
                    <w:t>自九十九年八月一日施行。</w:t>
                  </w:r>
                </w:p>
              </w:tc>
            </w:tr>
            <w:tr w:rsidR="00DE30E2" w:rsidRPr="008718E4" w:rsidTr="00EF6E2F">
              <w:trPr>
                <w:tblCellSpacing w:w="15" w:type="dxa"/>
              </w:trPr>
              <w:tc>
                <w:tcPr>
                  <w:tcW w:w="667" w:type="pct"/>
                  <w:noWrap/>
                  <w:vAlign w:val="center"/>
                </w:tcPr>
                <w:p w:rsidR="00DE30E2" w:rsidRPr="00D77AA4" w:rsidRDefault="00DE30E2" w:rsidP="00EF6E2F">
                  <w:pPr>
                    <w:widowControl/>
                    <w:rPr>
                      <w:rFonts w:ascii="Arial"/>
                    </w:rPr>
                  </w:pPr>
                </w:p>
              </w:tc>
              <w:tc>
                <w:tcPr>
                  <w:tcW w:w="27" w:type="pct"/>
                  <w:vAlign w:val="center"/>
                </w:tcPr>
                <w:p w:rsidR="00DE30E2" w:rsidRPr="00D77AA4" w:rsidRDefault="00DE30E2" w:rsidP="00EF6E2F">
                  <w:pPr>
                    <w:widowControl/>
                    <w:jc w:val="center"/>
                    <w:rPr>
                      <w:rFonts w:ascii="Arial"/>
                    </w:rPr>
                  </w:pPr>
                </w:p>
              </w:tc>
              <w:tc>
                <w:tcPr>
                  <w:tcW w:w="4240" w:type="pct"/>
                  <w:vAlign w:val="center"/>
                </w:tcPr>
                <w:p w:rsidR="00DE30E2" w:rsidRPr="00D77AA4"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rPr>
                  </w:pPr>
                </w:p>
              </w:tc>
            </w:tr>
            <w:tr w:rsidR="00DE30E2" w:rsidRPr="008718E4" w:rsidTr="00EF6E2F">
              <w:trPr>
                <w:tblCellSpacing w:w="15" w:type="dxa"/>
              </w:trPr>
              <w:tc>
                <w:tcPr>
                  <w:tcW w:w="667" w:type="pct"/>
                  <w:noWrap/>
                  <w:vAlign w:val="center"/>
                  <w:hideMark/>
                </w:tcPr>
                <w:p w:rsidR="00DE30E2" w:rsidRDefault="00DE30E2" w:rsidP="00EF6E2F">
                  <w:pPr>
                    <w:widowControl/>
                    <w:rPr>
                      <w:rFonts w:cs="新細明體"/>
                      <w:kern w:val="0"/>
                      <w:sz w:val="24"/>
                    </w:rPr>
                  </w:pPr>
                </w:p>
                <w:p w:rsidR="00DE30E2" w:rsidRPr="008718E4" w:rsidRDefault="00DE30E2" w:rsidP="00EF6E2F">
                  <w:pPr>
                    <w:widowControl/>
                    <w:rPr>
                      <w:rFonts w:cs="新細明體"/>
                      <w:kern w:val="0"/>
                      <w:sz w:val="24"/>
                    </w:rPr>
                  </w:pPr>
                </w:p>
              </w:tc>
              <w:tc>
                <w:tcPr>
                  <w:tcW w:w="27" w:type="pct"/>
                  <w:vAlign w:val="center"/>
                  <w:hideMark/>
                </w:tcPr>
                <w:p w:rsidR="00DE30E2" w:rsidRPr="008718E4" w:rsidRDefault="00DE30E2" w:rsidP="00EF6E2F">
                  <w:pPr>
                    <w:widowControl/>
                    <w:jc w:val="center"/>
                    <w:rPr>
                      <w:rFonts w:cs="新細明體"/>
                      <w:kern w:val="0"/>
                      <w:sz w:val="24"/>
                    </w:rPr>
                  </w:pPr>
                  <w:r w:rsidRPr="008718E4">
                    <w:rPr>
                      <w:rFonts w:cs="新細明體"/>
                      <w:kern w:val="0"/>
                      <w:sz w:val="24"/>
                    </w:rPr>
                    <w:t xml:space="preserve">  </w:t>
                  </w:r>
                </w:p>
              </w:tc>
              <w:tc>
                <w:tcPr>
                  <w:tcW w:w="4240" w:type="pct"/>
                  <w:vAlign w:val="center"/>
                  <w:hideMark/>
                </w:tcPr>
                <w:p w:rsidR="00DE30E2" w:rsidRPr="00626D00"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b/>
                      <w:kern w:val="0"/>
                      <w:sz w:val="24"/>
                    </w:rPr>
                  </w:pPr>
                </w:p>
                <w:p w:rsidR="00DE30E2" w:rsidRPr="00626D00" w:rsidRDefault="00DE30E2" w:rsidP="00EF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細明體"/>
                      <w:b/>
                      <w:kern w:val="0"/>
                      <w:sz w:val="24"/>
                    </w:rPr>
                  </w:pPr>
                </w:p>
              </w:tc>
            </w:tr>
          </w:tbl>
          <w:p w:rsidR="00DE30E2" w:rsidRPr="008718E4" w:rsidRDefault="00DE30E2" w:rsidP="00EF6E2F">
            <w:pPr>
              <w:widowControl/>
              <w:jc w:val="center"/>
              <w:rPr>
                <w:rFonts w:ascii="新細明體" w:eastAsia="新細明體" w:hAnsi="新細明體" w:cs="新細明體"/>
                <w:kern w:val="0"/>
                <w:sz w:val="24"/>
              </w:rPr>
            </w:pPr>
          </w:p>
        </w:tc>
      </w:tr>
    </w:tbl>
    <w:p w:rsidR="002A61CB" w:rsidRDefault="002A61CB"/>
    <w:sectPr w:rsidR="002A61CB" w:rsidSect="001A2C67">
      <w:pgSz w:w="11907" w:h="16839" w:code="9"/>
      <w:pgMar w:top="567" w:right="567" w:bottom="567" w:left="567" w:header="0" w:footer="0"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細明體">
    <w:altName w:val="MingLiU"/>
    <w:panose1 w:val="02020309000000000000"/>
    <w:charset w:val="88"/>
    <w:family w:val="modern"/>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0E2"/>
    <w:rsid w:val="001A2C67"/>
    <w:rsid w:val="002A61CB"/>
    <w:rsid w:val="00DE30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0E2"/>
    <w:pPr>
      <w:widowControl w:val="0"/>
    </w:pPr>
    <w:rPr>
      <w:rFonts w:ascii="標楷體" w:eastAsia="標楷體" w:hAnsi="標楷體" w:cs="Microsoft Sans Serif"/>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DE30E2"/>
    <w:pPr>
      <w:jc w:val="center"/>
      <w:outlineLvl w:val="0"/>
    </w:pPr>
    <w:rPr>
      <w:rFonts w:ascii="Cambria" w:hAnsi="Cambria" w:cs="Times New Roman"/>
      <w:b/>
      <w:bCs/>
      <w:sz w:val="32"/>
      <w:szCs w:val="32"/>
    </w:rPr>
  </w:style>
  <w:style w:type="character" w:customStyle="1" w:styleId="a4">
    <w:name w:val="標題 字元"/>
    <w:basedOn w:val="a0"/>
    <w:link w:val="a3"/>
    <w:rsid w:val="00DE30E2"/>
    <w:rPr>
      <w:rFonts w:ascii="Cambria" w:eastAsia="標楷體" w:hAnsi="Cambria"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0E2"/>
    <w:pPr>
      <w:widowControl w:val="0"/>
    </w:pPr>
    <w:rPr>
      <w:rFonts w:ascii="標楷體" w:eastAsia="標楷體" w:hAnsi="標楷體" w:cs="Microsoft Sans Serif"/>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DE30E2"/>
    <w:pPr>
      <w:jc w:val="center"/>
      <w:outlineLvl w:val="0"/>
    </w:pPr>
    <w:rPr>
      <w:rFonts w:ascii="Cambria" w:hAnsi="Cambria" w:cs="Times New Roman"/>
      <w:b/>
      <w:bCs/>
      <w:sz w:val="32"/>
      <w:szCs w:val="32"/>
    </w:rPr>
  </w:style>
  <w:style w:type="character" w:customStyle="1" w:styleId="a4">
    <w:name w:val="標題 字元"/>
    <w:basedOn w:val="a0"/>
    <w:link w:val="a3"/>
    <w:rsid w:val="00DE30E2"/>
    <w:rPr>
      <w:rFonts w:ascii="Cambria" w:eastAsia="標楷體" w:hAnsi="Cambria"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moj.gov.tw/LawClass/LawSingle.aspx?Pcode=H0040013&amp;FLNO=5" TargetMode="External"/><Relationship Id="rId13" Type="http://schemas.openxmlformats.org/officeDocument/2006/relationships/hyperlink" Target="http://law.moj.gov.tw/LawClass/LawSingle.aspx?Pcode=H0040013&amp;FLNO=13" TargetMode="External"/><Relationship Id="rId18" Type="http://schemas.openxmlformats.org/officeDocument/2006/relationships/hyperlink" Target="http://law.moj.gov.tw/LawClass/LawSingle.aspx?Pcode=H0040013&amp;FLNO=17" TargetMode="External"/><Relationship Id="rId3" Type="http://schemas.openxmlformats.org/officeDocument/2006/relationships/settings" Target="settings.xml"/><Relationship Id="rId21" Type="http://schemas.openxmlformats.org/officeDocument/2006/relationships/hyperlink" Target="http://law.moj.gov.tw/LawClass/LawSingle.aspx?Pcode=H0040013&amp;FLNO=20" TargetMode="External"/><Relationship Id="rId7" Type="http://schemas.openxmlformats.org/officeDocument/2006/relationships/hyperlink" Target="http://law.moj.gov.tw/LawClass/LawSingle.aspx?Pcode=H0040013&amp;FLNO=4" TargetMode="External"/><Relationship Id="rId12" Type="http://schemas.openxmlformats.org/officeDocument/2006/relationships/hyperlink" Target="http://law.moj.gov.tw/LawClass/LawSingle.aspx?Pcode=H0040013&amp;FLNO=12" TargetMode="External"/><Relationship Id="rId17" Type="http://schemas.openxmlformats.org/officeDocument/2006/relationships/hyperlink" Target="http://law.moj.gov.tw/LawClass/LawSingle.aspx?Pcode=H0040013&amp;FLNO=16" TargetMode="External"/><Relationship Id="rId2" Type="http://schemas.microsoft.com/office/2007/relationships/stylesWithEffects" Target="stylesWithEffects.xml"/><Relationship Id="rId16" Type="http://schemas.openxmlformats.org/officeDocument/2006/relationships/hyperlink" Target="http://law.moj.gov.tw/LawClass/LawSingle.aspx?Pcode=H0040013&amp;FLNO=15" TargetMode="External"/><Relationship Id="rId20" Type="http://schemas.openxmlformats.org/officeDocument/2006/relationships/hyperlink" Target="http://law.moj.gov.tw/LawClass/LawSingle.aspx?Pcode=H0040013&amp;FLNO=19" TargetMode="External"/><Relationship Id="rId1" Type="http://schemas.openxmlformats.org/officeDocument/2006/relationships/styles" Target="styles.xml"/><Relationship Id="rId6" Type="http://schemas.openxmlformats.org/officeDocument/2006/relationships/hyperlink" Target="http://law.moj.gov.tw/LawClass/LawSingle.aspx?Pcode=H0040013&amp;FLNO=2" TargetMode="External"/><Relationship Id="rId11" Type="http://schemas.openxmlformats.org/officeDocument/2006/relationships/hyperlink" Target="http://law.moj.gov.tw/LawClass/LawSingle.aspx?Pcode=H0040013&amp;FLNO=10" TargetMode="External"/><Relationship Id="rId24" Type="http://schemas.openxmlformats.org/officeDocument/2006/relationships/theme" Target="theme/theme1.xml"/><Relationship Id="rId5" Type="http://schemas.openxmlformats.org/officeDocument/2006/relationships/hyperlink" Target="http://law.moj.gov.tw/LawClass/LawSingle.aspx?Pcode=H0040013&amp;FLNO=1" TargetMode="External"/><Relationship Id="rId15" Type="http://schemas.openxmlformats.org/officeDocument/2006/relationships/hyperlink" Target="http://law.moj.gov.tw/LawClass/LawSingle.aspx?Pcode=H0040013&amp;FLNO=14" TargetMode="External"/><Relationship Id="rId23" Type="http://schemas.openxmlformats.org/officeDocument/2006/relationships/fontTable" Target="fontTable.xml"/><Relationship Id="rId10" Type="http://schemas.openxmlformats.org/officeDocument/2006/relationships/hyperlink" Target="http://law.moj.gov.tw/LawClass/LawSingle.aspx?Pcode=H0040013&amp;FLNO=7" TargetMode="External"/><Relationship Id="rId19" Type="http://schemas.openxmlformats.org/officeDocument/2006/relationships/hyperlink" Target="http://law.moj.gov.tw/LawClass/LawSingle.aspx?Pcode=H0040013&amp;FLNO=18" TargetMode="External"/><Relationship Id="rId4" Type="http://schemas.openxmlformats.org/officeDocument/2006/relationships/webSettings" Target="webSettings.xml"/><Relationship Id="rId9" Type="http://schemas.openxmlformats.org/officeDocument/2006/relationships/hyperlink" Target="http://law.moj.gov.tw/LawClass/LawSingle.aspx?Pcode=H0040013&amp;FLNO=6" TargetMode="External"/><Relationship Id="rId14" Type="http://schemas.openxmlformats.org/officeDocument/2006/relationships/hyperlink" Target="http://law.moj.gov.tw/LawClass/LawSingle.aspx?Pcode=H0040013&amp;FLNO=13-1" TargetMode="External"/><Relationship Id="rId22" Type="http://schemas.openxmlformats.org/officeDocument/2006/relationships/hyperlink" Target="http://law.moj.gov.tw/LawClass/LawSingle.aspx?Pcode=H0040013&amp;FLNO=21"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839</Words>
  <Characters>4784</Characters>
  <Application>Microsoft Office Word</Application>
  <DocSecurity>0</DocSecurity>
  <Lines>39</Lines>
  <Paragraphs>11</Paragraphs>
  <ScaleCrop>false</ScaleCrop>
  <Company/>
  <LinksUpToDate>false</LinksUpToDate>
  <CharactersWithSpaces>5612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1</cp:revision>
  <dcterms:created xsi:type="dcterms:W3CDTF">2014-06-16T09:28:00Z</dcterms:created>
  <dcterms:modified xsi:type="dcterms:W3CDTF">2014-06-16T09:28:00Z</dcterms:modified>
</cp:coreProperties>
</file>