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1C" w:rsidRPr="005C6D7C" w:rsidRDefault="0042131C" w:rsidP="0042131C">
      <w:pPr>
        <w:pStyle w:val="1"/>
        <w:rPr>
          <w:rFonts w:hint="eastAsia"/>
          <w:color w:val="auto"/>
        </w:rPr>
      </w:pPr>
      <w:bookmarkStart w:id="0" w:name="_Toc256148706"/>
      <w:bookmarkStart w:id="1" w:name="_Toc393701577"/>
      <w:bookmarkStart w:id="2" w:name="_GoBack"/>
      <w:r w:rsidRPr="005C6D7C">
        <w:rPr>
          <w:rFonts w:hint="eastAsia"/>
          <w:color w:val="auto"/>
        </w:rPr>
        <w:t>高英高級工商職業學校「學生德行成績考查」補充規定</w:t>
      </w:r>
      <w:bookmarkEnd w:id="0"/>
      <w:bookmarkEnd w:id="1"/>
      <w:bookmarkEnd w:id="2"/>
    </w:p>
    <w:p w:rsidR="0042131C" w:rsidRPr="005C6D7C" w:rsidRDefault="0042131C" w:rsidP="0042131C">
      <w:pPr>
        <w:pStyle w:val="a7"/>
        <w:snapToGrid w:val="0"/>
        <w:jc w:val="center"/>
        <w:rPr>
          <w:rFonts w:ascii="Times New Roman" w:eastAsia="標楷體" w:hAnsi="Times New Roman" w:hint="eastAsia"/>
          <w:b/>
          <w:sz w:val="28"/>
        </w:rPr>
      </w:pPr>
    </w:p>
    <w:p w:rsidR="0042131C" w:rsidRPr="005C6D7C" w:rsidRDefault="0042131C" w:rsidP="0042131C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42131C" w:rsidRPr="005C6D7C" w:rsidRDefault="0042131C" w:rsidP="0042131C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2131C" w:rsidRPr="005C6D7C" w:rsidRDefault="0042131C" w:rsidP="0042131C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2131C" w:rsidRDefault="0042131C" w:rsidP="0042131C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2131C" w:rsidRPr="005C6D7C" w:rsidRDefault="0042131C" w:rsidP="0042131C">
      <w:pPr>
        <w:overflowPunct w:val="0"/>
        <w:jc w:val="right"/>
        <w:rPr>
          <w:rFonts w:eastAsia="標楷體" w:hint="eastAsia"/>
          <w:b/>
          <w:color w:val="auto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2131C" w:rsidRPr="005C6D7C" w:rsidRDefault="0042131C" w:rsidP="0042131C">
      <w:pPr>
        <w:overflowPunct w:val="0"/>
        <w:snapToGrid w:val="0"/>
        <w:jc w:val="right"/>
        <w:rPr>
          <w:rFonts w:eastAsia="標楷體" w:hint="eastAsia"/>
          <w:b/>
          <w:color w:val="auto"/>
          <w:sz w:val="20"/>
          <w:szCs w:val="20"/>
        </w:rPr>
      </w:pP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一、依據「職業學校學生成績考查辦法」訂定之。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二、德行成績考查以學期為單位，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百分計分法，以一百分為滿分，六十分為及格。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三、德行成績取整數，學期成績及畢業總成績取小數第一位，第二位均四捨五入。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四、學生成績得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下列標準轉換為等第記分法：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九十分以上至一百分為優等。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八十分以上未滿九十分為甲等。</w:t>
      </w:r>
    </w:p>
    <w:p w:rsidR="0042131C" w:rsidRPr="005C6D7C" w:rsidRDefault="0042131C" w:rsidP="0042131C">
      <w:pPr>
        <w:pStyle w:val="a7"/>
        <w:tabs>
          <w:tab w:val="bar" w:pos="-1560"/>
        </w:tabs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七十分以上未滿八十分為乙等。</w:t>
      </w:r>
    </w:p>
    <w:p w:rsidR="0042131C" w:rsidRPr="005C6D7C" w:rsidRDefault="0042131C" w:rsidP="0042131C">
      <w:pPr>
        <w:pStyle w:val="a7"/>
        <w:tabs>
          <w:tab w:val="center" w:pos="840"/>
        </w:tabs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六十分以上未滿七十分為丙等。</w:t>
      </w:r>
    </w:p>
    <w:p w:rsidR="0042131C" w:rsidRPr="005C6D7C" w:rsidRDefault="0042131C" w:rsidP="0042131C">
      <w:pPr>
        <w:pStyle w:val="a7"/>
        <w:tabs>
          <w:tab w:val="num" w:pos="1680"/>
          <w:tab w:val="center" w:pos="1920"/>
        </w:tabs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未滿六十分為丁等。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五、德行成績應考查學生修</w:t>
      </w:r>
      <w:proofErr w:type="gramStart"/>
      <w:r w:rsidRPr="005C6D7C">
        <w:rPr>
          <w:rFonts w:ascii="Times New Roman" w:eastAsia="標楷體" w:hAnsi="Times New Roman" w:hint="eastAsia"/>
        </w:rPr>
        <w:t>己善群之</w:t>
      </w:r>
      <w:proofErr w:type="gramEnd"/>
      <w:r w:rsidRPr="005C6D7C">
        <w:rPr>
          <w:rFonts w:ascii="Times New Roman" w:eastAsia="標楷體" w:hAnsi="Times New Roman" w:hint="eastAsia"/>
        </w:rPr>
        <w:t>美德，其要點為肯定自己、珍惜生命、負責任、重榮譽、勤勉勵學、謙恭有禮、樂觀進取、誠實守信等。</w:t>
      </w:r>
    </w:p>
    <w:p w:rsidR="0042131C" w:rsidRPr="005C6D7C" w:rsidRDefault="0042131C" w:rsidP="0042131C">
      <w:pPr>
        <w:pStyle w:val="a7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六、德行成績之考查，以八十分為基本分數，並依導師、輔導教官考核、出席考勤及獎懲結果規定之標準，分別予以加減分數，核計實得總分，以一百分為滿分，累積分數超過一百分者以一百分計。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 xml:space="preserve">    </w:t>
      </w:r>
      <w:r w:rsidRPr="005C6D7C">
        <w:rPr>
          <w:rFonts w:ascii="Times New Roman" w:eastAsia="標楷體" w:hAnsi="Times New Roman" w:hint="eastAsia"/>
        </w:rPr>
        <w:t>成績考查依下列各款資料，導師可加減德行成績上下七分；輔導教官可加減德行成績上下三分。另有關教師所簽獎懲經核准者亦得加減</w:t>
      </w:r>
      <w:proofErr w:type="gramStart"/>
      <w:r w:rsidRPr="005C6D7C">
        <w:rPr>
          <w:rFonts w:ascii="Times New Roman" w:eastAsia="標楷體" w:hAnsi="Times New Roman" w:hint="eastAsia"/>
        </w:rPr>
        <w:t>併</w:t>
      </w:r>
      <w:proofErr w:type="gramEnd"/>
      <w:r w:rsidRPr="005C6D7C">
        <w:rPr>
          <w:rFonts w:ascii="Times New Roman" w:eastAsia="標楷體" w:hAnsi="Times New Roman" w:hint="eastAsia"/>
        </w:rPr>
        <w:t>計之。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導師平日觀察學生個別行為及談話紀錄。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教職員對於學生行為之觀察及紀錄。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學生自我反省及互相檢討之紀錄。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訪問學生家庭紀錄。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學生校外生活指導委員會彙送之資料或紀錄。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六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學生活動科目及團體活動之考查。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七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其他有關資料。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七、學生出勤考查結果，依下列各款標準加減分數：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全學期不曠課、</w:t>
      </w:r>
      <w:proofErr w:type="gramStart"/>
      <w:r w:rsidRPr="005C6D7C">
        <w:rPr>
          <w:rFonts w:ascii="Times New Roman" w:eastAsia="標楷體" w:hAnsi="Times New Roman" w:hint="eastAsia"/>
        </w:rPr>
        <w:t>不</w:t>
      </w:r>
      <w:proofErr w:type="gramEnd"/>
      <w:r w:rsidRPr="005C6D7C">
        <w:rPr>
          <w:rFonts w:ascii="Times New Roman" w:eastAsia="標楷體" w:hAnsi="Times New Roman" w:hint="eastAsia"/>
        </w:rPr>
        <w:t>缺席者，加三分。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曠課</w:t>
      </w:r>
      <w:proofErr w:type="gramStart"/>
      <w:r w:rsidRPr="005C6D7C">
        <w:rPr>
          <w:rFonts w:ascii="Times New Roman" w:eastAsia="標楷體" w:hAnsi="Times New Roman" w:hint="eastAsia"/>
        </w:rPr>
        <w:t>一小時者減一分</w:t>
      </w:r>
      <w:proofErr w:type="gramEnd"/>
      <w:r w:rsidRPr="005C6D7C">
        <w:rPr>
          <w:rFonts w:ascii="Times New Roman" w:eastAsia="標楷體" w:hAnsi="Times New Roman" w:hint="eastAsia"/>
        </w:rPr>
        <w:t>。遲到一次減</w:t>
      </w:r>
      <w:r w:rsidRPr="005C6D7C">
        <w:rPr>
          <w:rFonts w:ascii="Times New Roman" w:eastAsia="標楷體" w:hAnsi="Times New Roman"/>
        </w:rPr>
        <w:t>O</w:t>
      </w:r>
      <w:r w:rsidRPr="005C6D7C">
        <w:rPr>
          <w:rFonts w:ascii="Times New Roman" w:eastAsia="標楷體" w:hAnsi="Times New Roman" w:hint="eastAsia"/>
        </w:rPr>
        <w:t>．五分。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升旗、午休無故缺席者，每次減</w:t>
      </w:r>
      <w:r w:rsidRPr="005C6D7C">
        <w:rPr>
          <w:rFonts w:ascii="Times New Roman" w:eastAsia="標楷體" w:hAnsi="Times New Roman"/>
        </w:rPr>
        <w:t>O</w:t>
      </w:r>
      <w:r w:rsidRPr="005C6D7C">
        <w:rPr>
          <w:rFonts w:ascii="Times New Roman" w:eastAsia="標楷體" w:hAnsi="Times New Roman" w:hint="eastAsia"/>
        </w:rPr>
        <w:t>．五分。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事假十六小時者，減一分；因喪葬或特別事故准假在</w:t>
      </w:r>
      <w:proofErr w:type="gramStart"/>
      <w:r w:rsidRPr="005C6D7C">
        <w:rPr>
          <w:rFonts w:ascii="Times New Roman" w:eastAsia="標楷體" w:hAnsi="Times New Roman" w:hint="eastAsia"/>
        </w:rPr>
        <w:t>一週</w:t>
      </w:r>
      <w:proofErr w:type="gramEnd"/>
      <w:r w:rsidRPr="005C6D7C">
        <w:rPr>
          <w:rFonts w:ascii="Times New Roman" w:eastAsia="標楷體" w:hAnsi="Times New Roman" w:hint="eastAsia"/>
        </w:rPr>
        <w:t>以內者不予減分。但超過</w:t>
      </w:r>
      <w:proofErr w:type="gramStart"/>
      <w:r w:rsidRPr="005C6D7C">
        <w:rPr>
          <w:rFonts w:ascii="Times New Roman" w:eastAsia="標楷體" w:hAnsi="Times New Roman" w:hint="eastAsia"/>
        </w:rPr>
        <w:t>一週</w:t>
      </w:r>
      <w:proofErr w:type="gramEnd"/>
      <w:r w:rsidRPr="005C6D7C">
        <w:rPr>
          <w:rFonts w:ascii="Times New Roman" w:eastAsia="標楷體" w:hAnsi="Times New Roman" w:hint="eastAsia"/>
        </w:rPr>
        <w:t>以上者，其超過部分依事假之減分標準處理。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  <w:spacing w:val="-6"/>
        </w:rPr>
        <w:t>持有醫師證明或家長証明且經查證屬實，</w:t>
      </w:r>
      <w:r w:rsidRPr="005C6D7C">
        <w:rPr>
          <w:rFonts w:ascii="Times New Roman" w:eastAsia="標楷體" w:hAnsi="Times New Roman" w:hint="eastAsia"/>
        </w:rPr>
        <w:t>病假</w:t>
      </w:r>
      <w:proofErr w:type="gramStart"/>
      <w:r w:rsidRPr="005C6D7C">
        <w:rPr>
          <w:rFonts w:ascii="Times New Roman" w:eastAsia="標楷體" w:hAnsi="Times New Roman" w:hint="eastAsia"/>
        </w:rPr>
        <w:t>四十節者</w:t>
      </w:r>
      <w:proofErr w:type="gramEnd"/>
      <w:r w:rsidRPr="005C6D7C">
        <w:rPr>
          <w:rFonts w:ascii="Times New Roman" w:eastAsia="標楷體" w:hAnsi="Times New Roman" w:hint="eastAsia"/>
        </w:rPr>
        <w:t>，減一分。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六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全學期內無故曠課超過二十一小時以上者，應邀請學生家長到校辦理切結，如缺</w:t>
      </w:r>
      <w:proofErr w:type="gramStart"/>
      <w:r w:rsidRPr="005C6D7C">
        <w:rPr>
          <w:rFonts w:ascii="Times New Roman" w:eastAsia="標楷體" w:hAnsi="Times New Roman" w:hint="eastAsia"/>
        </w:rPr>
        <w:t>曠</w:t>
      </w:r>
      <w:proofErr w:type="gramEnd"/>
      <w:r w:rsidRPr="005C6D7C">
        <w:rPr>
          <w:rFonts w:ascii="Times New Roman" w:eastAsia="標楷體" w:hAnsi="Times New Roman" w:hint="eastAsia"/>
        </w:rPr>
        <w:t>仍未改善，可通知辦理輔導轉學。</w:t>
      </w:r>
    </w:p>
    <w:p w:rsidR="0042131C" w:rsidRPr="005C6D7C" w:rsidRDefault="0042131C" w:rsidP="0042131C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七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上課十分鐘以內進教室者以遲到計，超過十分鐘以曠課為原則。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八、學生之獎勵與懲罰依下列之規定：</w:t>
      </w:r>
    </w:p>
    <w:p w:rsidR="0042131C" w:rsidRPr="005C6D7C" w:rsidRDefault="0042131C" w:rsidP="0042131C">
      <w:pPr>
        <w:pStyle w:val="a7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獎勵：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嘉獎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lastRenderedPageBreak/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小功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3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大功</w:t>
      </w:r>
    </w:p>
    <w:p w:rsidR="0042131C" w:rsidRPr="005C6D7C" w:rsidRDefault="0042131C" w:rsidP="0042131C">
      <w:pPr>
        <w:pStyle w:val="a7"/>
        <w:tabs>
          <w:tab w:val="left" w:pos="-1800"/>
        </w:tabs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4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特別獎勵</w:t>
      </w:r>
    </w:p>
    <w:p w:rsidR="0042131C" w:rsidRPr="005C6D7C" w:rsidRDefault="0042131C" w:rsidP="0042131C">
      <w:pPr>
        <w:pStyle w:val="a7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懲罰：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警告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小過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3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大過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4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留校察看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5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輔導轉學</w:t>
      </w:r>
    </w:p>
    <w:p w:rsidR="0042131C" w:rsidRPr="005C6D7C" w:rsidRDefault="0042131C" w:rsidP="0042131C">
      <w:pPr>
        <w:pStyle w:val="a7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6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其他懲處</w:t>
      </w:r>
    </w:p>
    <w:p w:rsidR="0042131C" w:rsidRPr="005C6D7C" w:rsidRDefault="0042131C" w:rsidP="0042131C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九、學生獎懲結果，依下列各款標準加減分數：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記大功者，每次加七分。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記小功者，第次加二分。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記嘉獎者，每次加一分。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記大過者，每次減七分。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記小過者，每次減二分。</w:t>
      </w:r>
    </w:p>
    <w:p w:rsidR="0042131C" w:rsidRPr="005C6D7C" w:rsidRDefault="0042131C" w:rsidP="0042131C">
      <w:pPr>
        <w:pStyle w:val="a7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六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記警告者，每次減一分。</w:t>
      </w:r>
    </w:p>
    <w:p w:rsidR="0042131C" w:rsidRPr="005C6D7C" w:rsidRDefault="0042131C" w:rsidP="0042131C">
      <w:pPr>
        <w:pStyle w:val="a7"/>
        <w:snapToGrid w:val="0"/>
        <w:ind w:left="480" w:hanging="480"/>
        <w:jc w:val="both"/>
        <w:rPr>
          <w:rFonts w:ascii="Times New Roman" w:eastAsia="標楷體" w:hAnsi="Times New Roman"/>
          <w:i/>
        </w:rPr>
      </w:pPr>
      <w:r w:rsidRPr="005C6D7C">
        <w:rPr>
          <w:rFonts w:ascii="Times New Roman" w:eastAsia="標楷體" w:hAnsi="Times New Roman" w:hint="eastAsia"/>
        </w:rPr>
        <w:t>十、對學生之獎懲、缺</w:t>
      </w:r>
      <w:proofErr w:type="gramStart"/>
      <w:r w:rsidRPr="005C6D7C">
        <w:rPr>
          <w:rFonts w:ascii="Times New Roman" w:eastAsia="標楷體" w:hAnsi="Times New Roman" w:hint="eastAsia"/>
        </w:rPr>
        <w:t>曠</w:t>
      </w:r>
      <w:proofErr w:type="gramEnd"/>
      <w:r w:rsidRPr="005C6D7C">
        <w:rPr>
          <w:rFonts w:ascii="Times New Roman" w:eastAsia="標楷體" w:hAnsi="Times New Roman" w:hint="eastAsia"/>
        </w:rPr>
        <w:t>等各項考查，應適時通知學生、導師、家長或監護人，並列入德行成績計算。考查除成績之評定外並應以文字評述。</w:t>
      </w:r>
    </w:p>
    <w:p w:rsidR="0042131C" w:rsidRPr="005C6D7C" w:rsidRDefault="0042131C" w:rsidP="0042131C">
      <w:pPr>
        <w:pStyle w:val="a7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十一、學期中經處分留校察看之學生，其德行成績以六十分為基本分數，在留校察看期間如有獎懲事由發生時，仍依本要點處理。</w:t>
      </w:r>
    </w:p>
    <w:p w:rsidR="0042131C" w:rsidRPr="005C6D7C" w:rsidRDefault="0042131C" w:rsidP="0042131C">
      <w:pPr>
        <w:pStyle w:val="a7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十二、學生學期中如合於學校所訂輔導轉學標準者，應召開獎懲委員會為輔導轉學與否處分之決議，並報由校長核定後執行。</w:t>
      </w:r>
    </w:p>
    <w:p w:rsidR="0042131C" w:rsidRPr="005C6D7C" w:rsidRDefault="0042131C" w:rsidP="0042131C">
      <w:pPr>
        <w:pStyle w:val="a7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十三、德行成績考查以學期單位，學期德行成績不及格者，提德行審查會審議處理，並報請校長核定，其核定結果仍不及格者，應予留校察看或輔導轉學。</w:t>
      </w:r>
    </w:p>
    <w:p w:rsidR="0042131C" w:rsidRPr="005C6D7C" w:rsidRDefault="0042131C" w:rsidP="0042131C">
      <w:pPr>
        <w:pStyle w:val="a7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十四、德行成績不及格經德行審查會審議為撤銷、延長或輔導轉學之決議，並由校長核定後執行，惟留校察看期間以一學期為原則。</w:t>
      </w:r>
    </w:p>
    <w:p w:rsidR="0042131C" w:rsidRPr="005C6D7C" w:rsidRDefault="0042131C" w:rsidP="0042131C">
      <w:pPr>
        <w:pStyle w:val="a7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十五、留校察看學生，學期德行成績及格者，經德行審查會審查得撤銷留校察看，並由校長核定後執行。</w:t>
      </w:r>
    </w:p>
    <w:p w:rsidR="00F33639" w:rsidRPr="0042131C" w:rsidRDefault="0042131C" w:rsidP="0042131C">
      <w:r w:rsidRPr="005C6D7C">
        <w:rPr>
          <w:rFonts w:ascii="Times New Roman" w:eastAsia="標楷體" w:hAnsi="Times New Roman" w:hint="eastAsia"/>
        </w:rPr>
        <w:t>十六、本規定經校務會議通過，陳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sectPr w:rsidR="00F33639" w:rsidRPr="0042131C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B56D6"/>
    <w:rsid w:val="007C6B79"/>
    <w:rsid w:val="00872298"/>
    <w:rsid w:val="00AA06EA"/>
    <w:rsid w:val="00AB6DE3"/>
    <w:rsid w:val="00C25040"/>
    <w:rsid w:val="00C34DBB"/>
    <w:rsid w:val="00C86E30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>SYNNEX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2014-12-30T23:56:00Z</dcterms:created>
  <dcterms:modified xsi:type="dcterms:W3CDTF">2014-12-30T23:56:00Z</dcterms:modified>
</cp:coreProperties>
</file>