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79" w:rsidRPr="005C6D7C" w:rsidRDefault="007C6B79" w:rsidP="007C6B79">
      <w:pPr>
        <w:pStyle w:val="1"/>
        <w:rPr>
          <w:rFonts w:hint="eastAsia"/>
          <w:color w:val="auto"/>
        </w:rPr>
      </w:pPr>
      <w:bookmarkStart w:id="0" w:name="_Toc256148678"/>
      <w:bookmarkStart w:id="1" w:name="_Toc393701557"/>
      <w:bookmarkStart w:id="2" w:name="_GoBack"/>
      <w:r w:rsidRPr="005C6D7C">
        <w:rPr>
          <w:rFonts w:hint="eastAsia"/>
          <w:color w:val="auto"/>
        </w:rPr>
        <w:t>高英高級工商職業學校各項考試規則及違規處理要點</w:t>
      </w:r>
      <w:bookmarkEnd w:id="0"/>
      <w:bookmarkEnd w:id="1"/>
      <w:bookmarkEnd w:id="2"/>
    </w:p>
    <w:p w:rsidR="007C6B79" w:rsidRPr="005C6D7C" w:rsidRDefault="007C6B79" w:rsidP="007C6B79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b/>
          <w:color w:val="auto"/>
          <w:sz w:val="28"/>
        </w:rPr>
      </w:pPr>
    </w:p>
    <w:p w:rsidR="007C6B79" w:rsidRPr="005C6D7C" w:rsidRDefault="007C6B79" w:rsidP="007C6B7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7C6B79" w:rsidRPr="005C6D7C" w:rsidRDefault="007C6B79" w:rsidP="007C6B7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C6B79" w:rsidRPr="005C6D7C" w:rsidRDefault="007C6B79" w:rsidP="007C6B7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C6B79" w:rsidRDefault="007C6B79" w:rsidP="007C6B7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C6B79" w:rsidRPr="008B3B4E" w:rsidRDefault="007C6B79" w:rsidP="007C6B7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C6B79" w:rsidRPr="005C6D7C" w:rsidRDefault="007C6B79" w:rsidP="007C6B79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一、</w:t>
      </w:r>
      <w:r w:rsidRPr="005C6D7C">
        <w:rPr>
          <w:rFonts w:ascii="標楷體" w:eastAsia="標楷體" w:hAnsi="標楷體" w:hint="eastAsia"/>
          <w:color w:val="auto"/>
        </w:rPr>
        <w:t>本校學生各科目之考試</w:t>
      </w:r>
      <w:r w:rsidRPr="005C6D7C">
        <w:rPr>
          <w:rFonts w:ascii="標楷體" w:eastAsia="標楷體" w:hAnsi="標楷體"/>
          <w:color w:val="auto"/>
        </w:rPr>
        <w:t>，應依本規則之規定。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二、</w:t>
      </w:r>
      <w:r w:rsidRPr="005C6D7C">
        <w:rPr>
          <w:rFonts w:ascii="標楷體" w:eastAsia="標楷體" w:hAnsi="標楷體" w:hint="eastAsia"/>
          <w:color w:val="auto"/>
        </w:rPr>
        <w:t>考試科目時間及場所</w:t>
      </w:r>
      <w:r w:rsidRPr="005C6D7C">
        <w:rPr>
          <w:rStyle w:val="small3"/>
          <w:rFonts w:ascii="標楷體" w:eastAsia="標楷體" w:hAnsi="標楷體" w:hint="default"/>
          <w:color w:val="auto"/>
        </w:rPr>
        <w:t>，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均以本校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教務處排定者為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準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三、</w:t>
      </w:r>
      <w:r w:rsidRPr="005C6D7C">
        <w:rPr>
          <w:rFonts w:ascii="標楷體" w:eastAsia="標楷體" w:hAnsi="標楷體" w:hint="eastAsia"/>
          <w:color w:val="auto"/>
        </w:rPr>
        <w:t>每堂考試</w:t>
      </w:r>
      <w:r w:rsidRPr="005C6D7C">
        <w:rPr>
          <w:rStyle w:val="small3"/>
          <w:rFonts w:ascii="標楷體" w:eastAsia="標楷體" w:hAnsi="標楷體" w:hint="default"/>
          <w:color w:val="auto"/>
        </w:rPr>
        <w:t>，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均須按時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到場，凡遲到十分鐘者，以無故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缺考論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，無故缺考者，不得補考。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四、</w:t>
      </w:r>
      <w:r w:rsidRPr="005C6D7C">
        <w:rPr>
          <w:rFonts w:ascii="標楷體" w:eastAsia="標楷體" w:hAnsi="標楷體" w:hint="eastAsia"/>
          <w:color w:val="auto"/>
        </w:rPr>
        <w:t>凡學生因病</w:t>
      </w:r>
      <w:r w:rsidRPr="005C6D7C">
        <w:rPr>
          <w:rStyle w:val="small3"/>
          <w:rFonts w:ascii="標楷體" w:eastAsia="標楷體" w:hAnsi="標楷體" w:hint="default"/>
          <w:color w:val="auto"/>
        </w:rPr>
        <w:t>、喪假或其他重大事故，不能參加考試者，應備具證明文件</w:t>
      </w:r>
      <w:r w:rsidRPr="005C6D7C">
        <w:rPr>
          <w:rFonts w:ascii="標楷體" w:eastAsia="標楷體" w:hAnsi="標楷體"/>
          <w:color w:val="auto"/>
        </w:rPr>
        <w:t>（</w:t>
      </w:r>
      <w:r w:rsidRPr="005C6D7C">
        <w:rPr>
          <w:rFonts w:ascii="標楷體" w:eastAsia="標楷體" w:hAnsi="標楷體" w:hint="eastAsia"/>
          <w:color w:val="auto"/>
        </w:rPr>
        <w:t>因病者須有醫院住院證明</w:t>
      </w:r>
      <w:r w:rsidRPr="005C6D7C">
        <w:rPr>
          <w:rStyle w:val="small3"/>
          <w:rFonts w:ascii="標楷體" w:eastAsia="標楷體" w:hAnsi="標楷體" w:hint="default"/>
          <w:color w:val="auto"/>
        </w:rPr>
        <w:t>，喪假者須有證明</w:t>
      </w:r>
      <w:r w:rsidRPr="005C6D7C">
        <w:rPr>
          <w:rFonts w:ascii="標楷體" w:eastAsia="標楷體" w:hAnsi="標楷體"/>
          <w:color w:val="auto"/>
        </w:rPr>
        <w:t>）</w:t>
      </w:r>
      <w:r w:rsidRPr="005C6D7C">
        <w:rPr>
          <w:rStyle w:val="small3"/>
          <w:rFonts w:ascii="標楷體" w:eastAsia="標楷體" w:hAnsi="標楷體" w:hint="default"/>
          <w:color w:val="auto"/>
        </w:rPr>
        <w:t>，經核准後始得補考，否則以無故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缺考論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五、</w:t>
      </w:r>
      <w:r w:rsidRPr="005C6D7C">
        <w:rPr>
          <w:rFonts w:ascii="標楷體" w:eastAsia="標楷體" w:hAnsi="標楷體" w:hint="eastAsia"/>
          <w:color w:val="auto"/>
        </w:rPr>
        <w:t>考試時</w:t>
      </w:r>
      <w:r w:rsidRPr="005C6D7C">
        <w:rPr>
          <w:rStyle w:val="small3"/>
          <w:rFonts w:ascii="標楷體" w:eastAsia="標楷體" w:hAnsi="標楷體" w:hint="default"/>
          <w:color w:val="auto"/>
        </w:rPr>
        <w:t>，須遵守規則，保持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肅靜，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注意秩序，服從監考人員之監督。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六、</w:t>
      </w:r>
      <w:r w:rsidRPr="005C6D7C">
        <w:rPr>
          <w:rFonts w:ascii="標楷體" w:eastAsia="標楷體" w:hAnsi="標楷體" w:hint="eastAsia"/>
          <w:color w:val="auto"/>
        </w:rPr>
        <w:t>考試時</w:t>
      </w:r>
      <w:r w:rsidRPr="005C6D7C">
        <w:rPr>
          <w:rStyle w:val="small3"/>
          <w:rFonts w:ascii="標楷體" w:eastAsia="標楷體" w:hAnsi="標楷體" w:hint="default"/>
          <w:color w:val="auto"/>
        </w:rPr>
        <w:t>，除應用之文具外，不得攜帶書籍、講義、筆記簿冊，及其他供參考之文稿入場、書包一律放置教室外、如有違犯，依校規處理。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七、</w:t>
      </w:r>
      <w:r w:rsidRPr="005C6D7C">
        <w:rPr>
          <w:rFonts w:ascii="標楷體" w:eastAsia="標楷體" w:hAnsi="標楷體" w:hint="eastAsia"/>
          <w:color w:val="auto"/>
        </w:rPr>
        <w:t>考試除電腦閱卷</w:t>
      </w:r>
      <w:r w:rsidRPr="005C6D7C">
        <w:rPr>
          <w:rStyle w:val="small3"/>
          <w:rFonts w:ascii="標楷體" w:eastAsia="標楷體" w:hAnsi="標楷體" w:hint="default"/>
          <w:color w:val="auto"/>
        </w:rPr>
        <w:t>，使用2B鉛筆外、一律使用原子筆或鋼筆書寫，不得潦草，否則不予計分。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八、</w:t>
      </w:r>
      <w:r w:rsidRPr="005C6D7C">
        <w:rPr>
          <w:rFonts w:ascii="標楷體" w:eastAsia="標楷體" w:hAnsi="標楷體" w:hint="eastAsia"/>
          <w:color w:val="auto"/>
        </w:rPr>
        <w:t>試卷如有印製不清楚者或任何問題</w:t>
      </w:r>
      <w:r w:rsidRPr="005C6D7C">
        <w:rPr>
          <w:rStyle w:val="small3"/>
          <w:rFonts w:ascii="標楷體" w:eastAsia="標楷體" w:hAnsi="標楷體" w:hint="default"/>
          <w:color w:val="auto"/>
        </w:rPr>
        <w:t>，可於考試期間在原座位舉手請求說明，但不得要求解釋題意，或給予解答之暗示。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九、</w:t>
      </w:r>
      <w:r w:rsidRPr="005C6D7C">
        <w:rPr>
          <w:rFonts w:ascii="標楷體" w:eastAsia="標楷體" w:hAnsi="標楷體" w:hint="eastAsia"/>
          <w:color w:val="auto"/>
        </w:rPr>
        <w:t>犯下列舞弊情形之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者</w:t>
      </w:r>
      <w:r w:rsidRPr="005C6D7C">
        <w:rPr>
          <w:rStyle w:val="small3"/>
          <w:rFonts w:ascii="標楷體" w:eastAsia="標楷體" w:hAnsi="標楷體" w:hint="default"/>
          <w:color w:val="auto"/>
        </w:rPr>
        <w:t>，除該科試卷以零分計算外、應予記大過乙次處分。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cs="新細明體" w:hint="eastAsia"/>
          <w:color w:val="auto"/>
        </w:rPr>
        <w:t>)</w:t>
      </w:r>
      <w:r w:rsidRPr="005C6D7C">
        <w:rPr>
          <w:rStyle w:val="small3"/>
          <w:rFonts w:ascii="標楷體" w:eastAsia="標楷體" w:hAnsi="標楷體" w:hint="default"/>
          <w:color w:val="auto"/>
        </w:rPr>
        <w:t>左顧右盼窺視他人試卷者。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(二)</w:t>
      </w:r>
      <w:r w:rsidRPr="005C6D7C">
        <w:rPr>
          <w:rStyle w:val="small3"/>
          <w:rFonts w:ascii="標楷體" w:eastAsia="標楷體" w:hAnsi="標楷體" w:hint="default"/>
          <w:color w:val="auto"/>
        </w:rPr>
        <w:t>故意暴露試卷便利他人窺視者。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(三)</w:t>
      </w:r>
      <w:r w:rsidRPr="005C6D7C">
        <w:rPr>
          <w:rStyle w:val="small3"/>
          <w:rFonts w:ascii="標楷體" w:eastAsia="標楷體" w:hAnsi="標楷體" w:hint="default"/>
          <w:color w:val="auto"/>
        </w:rPr>
        <w:t>交頭接耳相互談話者。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(四)</w:t>
      </w:r>
      <w:r w:rsidRPr="005C6D7C">
        <w:rPr>
          <w:rStyle w:val="small3"/>
          <w:rFonts w:ascii="標楷體" w:eastAsia="標楷體" w:hAnsi="標楷體" w:hint="default"/>
          <w:color w:val="auto"/>
        </w:rPr>
        <w:t>遲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不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交卷，或交卷後仍逗留試場門窗口，經勸阻無效者。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(五)</w:t>
      </w:r>
      <w:r w:rsidRPr="005C6D7C">
        <w:rPr>
          <w:rStyle w:val="small3"/>
          <w:rFonts w:ascii="標楷體" w:eastAsia="標楷體" w:hAnsi="標楷體" w:hint="default"/>
          <w:color w:val="auto"/>
        </w:rPr>
        <w:t>攜帶夾帶或抄書者。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(六)</w:t>
      </w:r>
      <w:r w:rsidRPr="005C6D7C">
        <w:rPr>
          <w:rStyle w:val="small3"/>
          <w:rFonts w:ascii="標楷體" w:eastAsia="標楷體" w:hAnsi="標楷體" w:hint="default"/>
          <w:color w:val="auto"/>
        </w:rPr>
        <w:t>傳遞試題答案者。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(七)</w:t>
      </w:r>
      <w:r w:rsidRPr="005C6D7C">
        <w:rPr>
          <w:rStyle w:val="small3"/>
          <w:rFonts w:ascii="標楷體" w:eastAsia="標楷體" w:hAnsi="標楷體" w:hint="default"/>
          <w:color w:val="auto"/>
        </w:rPr>
        <w:t>擅自變更座次者。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(八)</w:t>
      </w:r>
      <w:r w:rsidRPr="005C6D7C">
        <w:rPr>
          <w:rStyle w:val="small3"/>
          <w:rFonts w:ascii="標楷體" w:eastAsia="標楷體" w:hAnsi="標楷體" w:hint="default"/>
          <w:color w:val="auto"/>
        </w:rPr>
        <w:t>故意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不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交卷，將試題試卷夾帶出場者。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(九)</w:t>
      </w:r>
      <w:r w:rsidRPr="005C6D7C">
        <w:rPr>
          <w:rStyle w:val="small3"/>
          <w:rFonts w:ascii="標楷體" w:eastAsia="標楷體" w:hAnsi="標楷體" w:hint="default"/>
          <w:color w:val="auto"/>
        </w:rPr>
        <w:t>請人或代人頂替考試者。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(十)</w:t>
      </w:r>
      <w:r w:rsidRPr="005C6D7C">
        <w:rPr>
          <w:rStyle w:val="small3"/>
          <w:rFonts w:ascii="標楷體" w:eastAsia="標楷體" w:hAnsi="標楷體" w:hint="default"/>
          <w:color w:val="auto"/>
        </w:rPr>
        <w:t>事先竊取試卷、試題，預做答案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入場換卷者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(十一)</w:t>
      </w:r>
      <w:r w:rsidRPr="005C6D7C">
        <w:rPr>
          <w:rStyle w:val="small3"/>
          <w:rFonts w:ascii="標楷體" w:eastAsia="標楷體" w:hAnsi="標楷體" w:hint="default"/>
          <w:color w:val="auto"/>
        </w:rPr>
        <w:t>破壞試場秩序，致使考試不能進行者。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新細明體" w:hint="eastAsia"/>
          <w:color w:val="auto"/>
        </w:rPr>
        <w:t>(十二)</w:t>
      </w:r>
      <w:r w:rsidRPr="005C6D7C">
        <w:rPr>
          <w:rStyle w:val="small3"/>
          <w:rFonts w:ascii="標楷體" w:eastAsia="標楷體" w:hAnsi="標楷體" w:hint="default"/>
          <w:color w:val="auto"/>
        </w:rPr>
        <w:t>其他與上列各項相類似之情事者。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十、</w:t>
      </w:r>
      <w:r w:rsidRPr="005C6D7C">
        <w:rPr>
          <w:rFonts w:ascii="標楷體" w:eastAsia="標楷體" w:hAnsi="標楷體" w:hint="eastAsia"/>
          <w:color w:val="auto"/>
        </w:rPr>
        <w:t>犯有第九條之行為，不服取締且態度惡劣或威脅監考老師言行者，加重</w:t>
      </w:r>
      <w:r w:rsidRPr="005C6D7C">
        <w:rPr>
          <w:rStyle w:val="small3"/>
          <w:rFonts w:ascii="標楷體" w:eastAsia="標楷體" w:hAnsi="標楷體" w:hint="default"/>
          <w:color w:val="auto"/>
        </w:rPr>
        <w:t>處分。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Style w:val="small3"/>
          <w:rFonts w:ascii="標楷體" w:eastAsia="標楷體" w:hAnsi="標楷體" w:hint="default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十一、</w:t>
      </w:r>
      <w:r w:rsidRPr="005C6D7C">
        <w:rPr>
          <w:rStyle w:val="small3"/>
          <w:rFonts w:ascii="標楷體" w:eastAsia="標楷體" w:hAnsi="標楷體" w:hint="default"/>
          <w:color w:val="auto"/>
        </w:rPr>
        <w:t>考生出場後，</w:t>
      </w:r>
      <w:r w:rsidRPr="005C6D7C">
        <w:rPr>
          <w:rFonts w:ascii="標楷體" w:eastAsia="標楷體" w:hAnsi="標楷體"/>
          <w:color w:val="auto"/>
        </w:rPr>
        <w:t>不得</w:t>
      </w:r>
      <w:r w:rsidRPr="005C6D7C">
        <w:rPr>
          <w:rStyle w:val="small3"/>
          <w:rFonts w:ascii="標楷體" w:eastAsia="標楷體" w:hAnsi="標楷體" w:hint="default"/>
          <w:color w:val="auto"/>
        </w:rPr>
        <w:t>在走廊高聲喧嘩、奔跳、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嘻鬧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、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背念題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答或</w:t>
      </w:r>
      <w:proofErr w:type="gramStart"/>
      <w:r w:rsidRPr="005C6D7C">
        <w:rPr>
          <w:rStyle w:val="small3"/>
          <w:rFonts w:ascii="標楷體" w:eastAsia="標楷體" w:hAnsi="標楷體" w:hint="default"/>
          <w:color w:val="auto"/>
        </w:rPr>
        <w:t>作手勢</w:t>
      </w:r>
      <w:proofErr w:type="gramEnd"/>
      <w:r w:rsidRPr="005C6D7C">
        <w:rPr>
          <w:rStyle w:val="small3"/>
          <w:rFonts w:ascii="標楷體" w:eastAsia="標楷體" w:hAnsi="標楷體" w:hint="default"/>
          <w:color w:val="auto"/>
        </w:rPr>
        <w:t>、動作等影響考試之情事，違者經勸告不聽者，視情節輕重，從嚴議處。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535" w:hangingChars="297" w:hanging="535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Style w:val="small3"/>
          <w:rFonts w:ascii="標楷體" w:eastAsia="標楷體" w:hAnsi="標楷體" w:hint="default"/>
          <w:color w:val="auto"/>
        </w:rPr>
        <w:t>十二、</w:t>
      </w:r>
      <w:r w:rsidRPr="005C6D7C">
        <w:rPr>
          <w:rFonts w:ascii="標楷體" w:eastAsia="標楷體" w:hAnsi="標楷體" w:hint="eastAsia"/>
          <w:color w:val="auto"/>
        </w:rPr>
        <w:t>學校任何考試，包括定期考查、抽考、補考與平時考等，</w:t>
      </w:r>
      <w:proofErr w:type="gramStart"/>
      <w:r w:rsidRPr="005C6D7C">
        <w:rPr>
          <w:rFonts w:ascii="標楷體" w:eastAsia="標楷體" w:hAnsi="標楷體" w:hint="eastAsia"/>
          <w:color w:val="auto"/>
        </w:rPr>
        <w:t>學生均需穿著</w:t>
      </w:r>
      <w:proofErr w:type="gramEnd"/>
      <w:r w:rsidRPr="005C6D7C">
        <w:rPr>
          <w:rFonts w:ascii="標楷體" w:eastAsia="標楷體" w:hAnsi="標楷體" w:hint="eastAsia"/>
          <w:color w:val="auto"/>
        </w:rPr>
        <w:t>校規定之服裝；補考時，須攜帶有辨明身份之證件如身份證、學生證等，違者不得入場考試。</w:t>
      </w:r>
    </w:p>
    <w:p w:rsidR="007C6B79" w:rsidRPr="005C6D7C" w:rsidRDefault="007C6B79" w:rsidP="007C6B79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十三、學校任何考試除另有規定外，均適用本要點。</w:t>
      </w:r>
    </w:p>
    <w:p w:rsidR="00F33639" w:rsidRPr="007C6B79" w:rsidRDefault="007C6B79" w:rsidP="007C6B79">
      <w:r w:rsidRPr="005C6D7C">
        <w:rPr>
          <w:rFonts w:ascii="標楷體" w:eastAsia="標楷體" w:hAnsi="標楷體" w:hint="eastAsia"/>
          <w:color w:val="auto"/>
        </w:rPr>
        <w:t>十四、</w:t>
      </w:r>
      <w:r w:rsidRPr="005C6D7C">
        <w:rPr>
          <w:rStyle w:val="small3"/>
          <w:rFonts w:ascii="標楷體" w:eastAsia="標楷體" w:hAnsi="標楷體" w:hint="default"/>
          <w:color w:val="auto"/>
        </w:rPr>
        <w:t>本</w:t>
      </w:r>
      <w:r w:rsidRPr="005C6D7C">
        <w:rPr>
          <w:rFonts w:ascii="標楷體" w:eastAsia="標楷體" w:hAnsi="標楷體" w:hint="eastAsia"/>
          <w:color w:val="auto"/>
        </w:rPr>
        <w:t>辦法經學</w:t>
      </w:r>
      <w:r w:rsidRPr="005C6D7C">
        <w:rPr>
          <w:rFonts w:ascii="標楷體" w:eastAsia="標楷體" w:hAnsi="標楷體" w:hint="eastAsia"/>
          <w:color w:val="auto"/>
          <w:spacing w:val="-6"/>
        </w:rPr>
        <w:t>校行政會議通過，</w:t>
      </w:r>
      <w:r w:rsidRPr="005C6D7C">
        <w:rPr>
          <w:rStyle w:val="small3"/>
          <w:rFonts w:ascii="標楷體" w:eastAsia="標楷體" w:hAnsi="標楷體" w:hint="default"/>
          <w:color w:val="auto"/>
          <w:spacing w:val="-6"/>
        </w:rPr>
        <w:t>呈請校長核定後公佈</w:t>
      </w:r>
      <w:r w:rsidRPr="005C6D7C">
        <w:rPr>
          <w:rFonts w:ascii="標楷體" w:eastAsia="標楷體" w:hAnsi="標楷體" w:hint="eastAsia"/>
          <w:color w:val="auto"/>
          <w:spacing w:val="-6"/>
        </w:rPr>
        <w:t>實施</w:t>
      </w:r>
      <w:r w:rsidRPr="005C6D7C">
        <w:rPr>
          <w:rFonts w:ascii="標楷體" w:eastAsia="標楷體" w:hAnsi="標楷體" w:hint="eastAsia"/>
          <w:color w:val="auto"/>
        </w:rPr>
        <w:t>，修正時亦同。</w:t>
      </w:r>
    </w:p>
    <w:sectPr w:rsidR="00F33639" w:rsidRPr="007C6B7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56F28"/>
    <w:rsid w:val="006249C7"/>
    <w:rsid w:val="007B56D6"/>
    <w:rsid w:val="007C6B79"/>
    <w:rsid w:val="00872298"/>
    <w:rsid w:val="00AA06EA"/>
    <w:rsid w:val="00AB6DE3"/>
    <w:rsid w:val="00C25040"/>
    <w:rsid w:val="00C34DBB"/>
    <w:rsid w:val="00C86E30"/>
    <w:rsid w:val="00DA41C9"/>
    <w:rsid w:val="00DA5AE3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>SYNNEX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2014-12-30T23:55:00Z</dcterms:created>
  <dcterms:modified xsi:type="dcterms:W3CDTF">2014-12-30T23:55:00Z</dcterms:modified>
</cp:coreProperties>
</file>