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40" w:rsidRPr="005C6D7C" w:rsidRDefault="00C25040" w:rsidP="00C25040">
      <w:pPr>
        <w:pStyle w:val="1"/>
        <w:rPr>
          <w:rFonts w:hint="eastAsia"/>
          <w:color w:val="auto"/>
        </w:rPr>
      </w:pPr>
      <w:bookmarkStart w:id="0" w:name="_Toc393701568"/>
      <w:bookmarkStart w:id="1" w:name="_GoBack"/>
      <w:r w:rsidRPr="005C6D7C">
        <w:rPr>
          <w:rFonts w:hint="eastAsia"/>
          <w:color w:val="auto"/>
        </w:rPr>
        <w:t>高英高級工商職業學校精進教學補充教材編撰要點</w:t>
      </w:r>
      <w:bookmarkEnd w:id="0"/>
      <w:bookmarkEnd w:id="1"/>
    </w:p>
    <w:p w:rsidR="00C25040" w:rsidRPr="005C6D7C" w:rsidRDefault="00C25040" w:rsidP="00C25040">
      <w:pPr>
        <w:widowControl/>
        <w:snapToGrid w:val="0"/>
        <w:jc w:val="center"/>
        <w:rPr>
          <w:rFonts w:ascii="標楷體" w:eastAsia="標楷體" w:hAnsi="標楷體" w:cs="新細明體" w:hint="eastAsia"/>
          <w:b/>
          <w:bCs/>
          <w:color w:val="auto"/>
          <w:kern w:val="0"/>
          <w:sz w:val="28"/>
          <w:szCs w:val="28"/>
        </w:rPr>
      </w:pPr>
    </w:p>
    <w:p w:rsidR="00C25040" w:rsidRDefault="00C25040" w:rsidP="00C25040">
      <w:pPr>
        <w:widowControl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C25040" w:rsidRPr="005C6D7C" w:rsidRDefault="00C25040" w:rsidP="00C25040">
      <w:pPr>
        <w:widowControl/>
        <w:jc w:val="right"/>
        <w:rPr>
          <w:rFonts w:ascii="標楷體" w:eastAsia="標楷體" w:hAnsi="標楷體" w:cs="新細明體" w:hint="eastAsia"/>
          <w:b/>
          <w:bCs/>
          <w:color w:val="auto"/>
          <w:kern w:val="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5040" w:rsidRPr="005C6D7C" w:rsidRDefault="00C25040" w:rsidP="00C25040">
      <w:pPr>
        <w:widowControl/>
        <w:snapToGrid w:val="0"/>
        <w:spacing w:line="360" w:lineRule="auto"/>
        <w:rPr>
          <w:rFonts w:ascii="標楷體" w:eastAsia="標楷體" w:hAnsi="標楷體" w:cs="新細明體" w:hint="eastAsia"/>
          <w:bCs/>
          <w:color w:val="auto"/>
          <w:kern w:val="0"/>
        </w:rPr>
      </w:pPr>
    </w:p>
    <w:p w:rsidR="00C25040" w:rsidRPr="005C6D7C" w:rsidRDefault="00C25040" w:rsidP="00C25040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一、依據：本校精進教學實施辦法。</w:t>
      </w:r>
    </w:p>
    <w:p w:rsidR="00C25040" w:rsidRPr="005C6D7C" w:rsidRDefault="00C25040" w:rsidP="00C25040">
      <w:pPr>
        <w:widowControl/>
        <w:ind w:left="1188" w:hangingChars="495" w:hanging="1188"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二、目的：</w:t>
      </w:r>
      <w:r w:rsidRPr="005C6D7C">
        <w:rPr>
          <w:rFonts w:ascii="標楷體" w:eastAsia="標楷體" w:hAnsi="標楷體" w:cs="新細明體"/>
          <w:bCs/>
          <w:color w:val="auto"/>
          <w:kern w:val="0"/>
        </w:rPr>
        <w:t>為顧及學生個別差異，加強教學診斷，幫助學生有效學習，以達到預期的能力水準。</w:t>
      </w:r>
    </w:p>
    <w:p w:rsidR="00C25040" w:rsidRPr="005C6D7C" w:rsidRDefault="00C25040" w:rsidP="00C25040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三、實施對象：</w:t>
      </w:r>
      <w:r w:rsidRPr="005C6D7C">
        <w:rPr>
          <w:rFonts w:ascii="標楷體" w:eastAsia="標楷體" w:hAnsi="標楷體"/>
          <w:color w:val="auto"/>
        </w:rPr>
        <w:t>每一單元教學後，學習進度超前或具有特殊才能之學生，得實</w:t>
      </w:r>
      <w:r w:rsidRPr="005C6D7C">
        <w:rPr>
          <w:rFonts w:ascii="標楷體" w:eastAsia="標楷體" w:hAnsi="標楷體" w:hint="eastAsia"/>
          <w:color w:val="auto"/>
        </w:rPr>
        <w:t>施精進</w:t>
      </w:r>
      <w:r w:rsidRPr="005C6D7C">
        <w:rPr>
          <w:rFonts w:ascii="標楷體" w:eastAsia="標楷體" w:hAnsi="標楷體"/>
          <w:color w:val="auto"/>
        </w:rPr>
        <w:t>教學。</w:t>
      </w:r>
    </w:p>
    <w:p w:rsidR="00C25040" w:rsidRPr="005C6D7C" w:rsidRDefault="00C25040" w:rsidP="00C25040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四、補充教材編撰科目，如下表：</w:t>
      </w:r>
    </w:p>
    <w:tbl>
      <w:tblPr>
        <w:tblW w:w="0" w:type="auto"/>
        <w:jc w:val="center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7896"/>
      </w:tblGrid>
      <w:tr w:rsidR="00C25040" w:rsidRPr="005C6D7C" w:rsidTr="00781E2B">
        <w:trPr>
          <w:trHeight w:val="478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科   別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精進教學補充教材科目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一般科目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國文科、英文科、數學科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汽車科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應用力學、引擎原理及實習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電工概論與實習、電子概論與實習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電機科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電子學、基本電學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電工機械、電子學實習、基本電學實習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電子科</w:t>
            </w:r>
          </w:p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資訊科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電子學、基本電學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數位邏輯、數位邏輯實習、電子學實習、計算機概論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廣告設計科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色彩原理、造形原理、設計概論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基本設計、繪畫基礎、基礎圖學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資料處理科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商業概論、計算機概論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會計學、經濟學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餐飲管理科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餐旅概論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餐旅服務、飲料與調酒</w:t>
            </w:r>
          </w:p>
        </w:tc>
      </w:tr>
      <w:tr w:rsidR="00C25040" w:rsidRPr="005C6D7C" w:rsidTr="00781E2B">
        <w:trPr>
          <w:trHeight w:val="720"/>
          <w:jc w:val="center"/>
        </w:trPr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center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美容科</w:t>
            </w:r>
          </w:p>
        </w:tc>
        <w:tc>
          <w:tcPr>
            <w:tcW w:w="0" w:type="auto"/>
            <w:vAlign w:val="center"/>
          </w:tcPr>
          <w:p w:rsidR="00C25040" w:rsidRPr="005C6D7C" w:rsidRDefault="00C25040" w:rsidP="00781E2B">
            <w:pPr>
              <w:widowControl/>
              <w:jc w:val="both"/>
              <w:rPr>
                <w:rFonts w:ascii="標楷體" w:eastAsia="標楷體" w:hAnsi="標楷體" w:cs="Arial" w:hint="eastAsia"/>
                <w:color w:val="auto"/>
                <w:kern w:val="0"/>
              </w:rPr>
            </w:pP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家政概論、家庭教育</w:t>
            </w:r>
            <w:r w:rsidRPr="005C6D7C">
              <w:rPr>
                <w:rFonts w:ascii="標楷體" w:eastAsia="標楷體" w:hAnsi="標楷體" w:cs="Arial" w:hint="eastAsia"/>
                <w:color w:val="auto"/>
                <w:kern w:val="0"/>
              </w:rPr>
              <w:t>、</w:t>
            </w:r>
            <w:r w:rsidRPr="005C6D7C">
              <w:rPr>
                <w:rFonts w:ascii="標楷體" w:eastAsia="標楷體" w:hAnsi="標楷體" w:cs="Arial"/>
                <w:color w:val="auto"/>
                <w:kern w:val="0"/>
              </w:rPr>
              <w:t>色彩概論、家政行職業衛生與安全</w:t>
            </w:r>
          </w:p>
        </w:tc>
      </w:tr>
    </w:tbl>
    <w:p w:rsidR="00C25040" w:rsidRPr="005C6D7C" w:rsidRDefault="00C25040" w:rsidP="00C25040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>五、教材內容</w:t>
      </w:r>
    </w:p>
    <w:p w:rsidR="00C25040" w:rsidRPr="005C6D7C" w:rsidRDefault="00C25040" w:rsidP="00C25040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cs="Arial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Arial" w:hint="eastAsia"/>
          <w:color w:val="auto"/>
          <w:kern w:val="0"/>
        </w:rPr>
        <w:t>)以本校教科書及不同版本2種之書籍教材為主，可</w:t>
      </w:r>
      <w:proofErr w:type="gramStart"/>
      <w:r w:rsidRPr="005C6D7C">
        <w:rPr>
          <w:rFonts w:ascii="標楷體" w:eastAsia="標楷體" w:hAnsi="標楷體" w:cs="Arial" w:hint="eastAsia"/>
          <w:color w:val="auto"/>
          <w:kern w:val="0"/>
        </w:rPr>
        <w:t>加入統測歷屆</w:t>
      </w:r>
      <w:proofErr w:type="gramEnd"/>
      <w:r w:rsidRPr="005C6D7C">
        <w:rPr>
          <w:rFonts w:ascii="標楷體" w:eastAsia="標楷體" w:hAnsi="標楷體" w:cs="Arial" w:hint="eastAsia"/>
          <w:color w:val="auto"/>
          <w:kern w:val="0"/>
        </w:rPr>
        <w:t>試題。</w:t>
      </w:r>
    </w:p>
    <w:p w:rsidR="00C25040" w:rsidRPr="005C6D7C" w:rsidRDefault="00C25040" w:rsidP="00C25040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(二)相關參考書籍之習題。</w:t>
      </w:r>
    </w:p>
    <w:p w:rsidR="00C25040" w:rsidRPr="005C6D7C" w:rsidRDefault="00C25040" w:rsidP="00C25040">
      <w:pPr>
        <w:widowControl/>
        <w:ind w:left="708" w:hangingChars="295" w:hanging="708"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(三)題目題型不限，每單元以至少2頁之教材為原則。</w:t>
      </w:r>
    </w:p>
    <w:p w:rsidR="00C25040" w:rsidRPr="005C6D7C" w:rsidRDefault="00C25040" w:rsidP="00C25040">
      <w:pPr>
        <w:widowControl/>
        <w:ind w:left="708" w:hangingChars="295" w:hanging="708"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(四)精進教學補充教材製作完成後，由學科召集人統一上傳至教材資源中心網站。</w:t>
      </w:r>
    </w:p>
    <w:p w:rsidR="00C25040" w:rsidRPr="005C6D7C" w:rsidRDefault="00C25040" w:rsidP="00C25040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(五)補充教材若因科目或教材變更後，應適時上網修正。</w:t>
      </w:r>
    </w:p>
    <w:p w:rsidR="00F33639" w:rsidRPr="00C25040" w:rsidRDefault="00C25040" w:rsidP="00C25040">
      <w:r w:rsidRPr="005C6D7C">
        <w:rPr>
          <w:rFonts w:ascii="標楷體" w:eastAsia="標楷體" w:hAnsi="標楷體" w:hint="eastAsia"/>
          <w:color w:val="auto"/>
          <w:kern w:val="0"/>
        </w:rPr>
        <w:t>六</w:t>
      </w:r>
      <w:r w:rsidRPr="005C6D7C">
        <w:rPr>
          <w:rFonts w:ascii="標楷體" w:eastAsia="標楷體" w:hAnsi="標楷體"/>
          <w:color w:val="auto"/>
          <w:kern w:val="0"/>
        </w:rPr>
        <w:t>、</w:t>
      </w:r>
      <w:r w:rsidRPr="005C6D7C">
        <w:rPr>
          <w:rFonts w:ascii="標楷體" w:eastAsia="標楷體" w:hAnsi="標楷體" w:hint="eastAsia"/>
          <w:color w:val="auto"/>
        </w:rPr>
        <w:t>本要點經校務會議通過，陳  校長核定後實施，修正時亦同。</w:t>
      </w:r>
    </w:p>
    <w:sectPr w:rsidR="00F33639" w:rsidRPr="00C25040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D82"/>
    <w:rsid w:val="00456F28"/>
    <w:rsid w:val="007B56D6"/>
    <w:rsid w:val="00872298"/>
    <w:rsid w:val="00AA06EA"/>
    <w:rsid w:val="00C25040"/>
    <w:rsid w:val="00C34DBB"/>
    <w:rsid w:val="00C86E30"/>
    <w:rsid w:val="00DA41C9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SYNNEX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2014-12-30T23:53:00Z</dcterms:created>
  <dcterms:modified xsi:type="dcterms:W3CDTF">2014-12-30T23:53:00Z</dcterms:modified>
</cp:coreProperties>
</file>